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708"/>
      </w:tblGrid>
      <w:tr w:rsidR="00765293" w14:paraId="0E19EE30" w14:textId="77777777" w:rsidTr="008B3A78">
        <w:tc>
          <w:tcPr>
            <w:tcW w:w="4785" w:type="dxa"/>
          </w:tcPr>
          <w:p w14:paraId="55A0E000" w14:textId="77777777" w:rsidR="00765293" w:rsidRDefault="00765293" w:rsidP="008B3A78">
            <w:pPr>
              <w:pStyle w:val="ac"/>
              <w:jc w:val="both"/>
            </w:pPr>
          </w:p>
        </w:tc>
        <w:tc>
          <w:tcPr>
            <w:tcW w:w="4786" w:type="dxa"/>
          </w:tcPr>
          <w:p w14:paraId="17BE3C3D" w14:textId="77777777" w:rsidR="00765293" w:rsidRDefault="00765293" w:rsidP="008B3A78">
            <w:pPr>
              <w:pStyle w:val="ac"/>
              <w:jc w:val="center"/>
            </w:pPr>
            <w:r>
              <w:t>Приложение № 3</w:t>
            </w:r>
          </w:p>
          <w:p w14:paraId="7819BAA3" w14:textId="77777777" w:rsidR="00765293" w:rsidRDefault="00765293" w:rsidP="008B3A78">
            <w:pPr>
              <w:pStyle w:val="ac"/>
              <w:jc w:val="center"/>
            </w:pPr>
            <w:r>
              <w:t>к Положению о членстве в Ассоциации муниципального спортивного управления</w:t>
            </w:r>
          </w:p>
        </w:tc>
      </w:tr>
    </w:tbl>
    <w:p w14:paraId="13D35B5E" w14:textId="77777777" w:rsidR="00765293" w:rsidRDefault="00765293" w:rsidP="00765293">
      <w:pPr>
        <w:pStyle w:val="ac"/>
        <w:jc w:val="center"/>
        <w:rPr>
          <w:b/>
        </w:rPr>
      </w:pPr>
    </w:p>
    <w:p w14:paraId="2E64D3E8" w14:textId="77777777" w:rsidR="00765293" w:rsidRDefault="00765293" w:rsidP="00765293">
      <w:pPr>
        <w:pStyle w:val="ac"/>
        <w:jc w:val="center"/>
        <w:rPr>
          <w:b/>
        </w:rPr>
      </w:pPr>
    </w:p>
    <w:p w14:paraId="6D222BF1" w14:textId="77777777" w:rsidR="00765293" w:rsidRPr="00EE6D17" w:rsidRDefault="00765293" w:rsidP="00765293">
      <w:pPr>
        <w:pStyle w:val="ac"/>
        <w:jc w:val="center"/>
        <w:rPr>
          <w:b/>
        </w:rPr>
      </w:pPr>
      <w:r w:rsidRPr="00EE6D17">
        <w:rPr>
          <w:b/>
        </w:rPr>
        <w:t>МЕТОДИКА РАСЧЕТА ЕЖЕГОДНОГО ЧЛЕНСКОГО ВЗНОСА</w:t>
      </w:r>
    </w:p>
    <w:p w14:paraId="52FCB363" w14:textId="77777777" w:rsidR="00765293" w:rsidRPr="00A97CA1" w:rsidRDefault="00765293" w:rsidP="00765293">
      <w:pPr>
        <w:pStyle w:val="ac"/>
        <w:jc w:val="center"/>
        <w:rPr>
          <w:b/>
        </w:rPr>
      </w:pPr>
      <w:r w:rsidRPr="00EE6D17">
        <w:rPr>
          <w:b/>
        </w:rPr>
        <w:t>АССОЦИАЦИИ МУНИЦИПАЛЬНОГО СПОРТИВНОГО УПРАВЛЕНИЯ</w:t>
      </w:r>
    </w:p>
    <w:p w14:paraId="437ABA1A" w14:textId="77777777" w:rsidR="00765293" w:rsidRPr="00B5209F" w:rsidRDefault="00765293" w:rsidP="00765293">
      <w:pPr>
        <w:pStyle w:val="10"/>
        <w:spacing w:after="0" w:line="360" w:lineRule="auto"/>
        <w:rPr>
          <w:color w:val="auto"/>
          <w:sz w:val="27"/>
          <w:szCs w:val="27"/>
        </w:rPr>
      </w:pPr>
      <w:r w:rsidRPr="00B5209F">
        <w:rPr>
          <w:color w:val="auto"/>
          <w:sz w:val="27"/>
          <w:szCs w:val="27"/>
        </w:rPr>
        <w:t>1. Общие положения</w:t>
      </w:r>
    </w:p>
    <w:p w14:paraId="564248D1" w14:textId="77777777" w:rsidR="00765293" w:rsidRPr="00B5209F" w:rsidRDefault="00765293" w:rsidP="00765293">
      <w:pPr>
        <w:pStyle w:val="ac"/>
        <w:spacing w:line="276" w:lineRule="auto"/>
        <w:ind w:firstLine="709"/>
        <w:jc w:val="both"/>
        <w:rPr>
          <w:sz w:val="27"/>
          <w:szCs w:val="27"/>
        </w:rPr>
      </w:pPr>
      <w:r w:rsidRPr="00B5209F">
        <w:rPr>
          <w:b/>
          <w:bCs/>
          <w:sz w:val="27"/>
          <w:szCs w:val="27"/>
        </w:rPr>
        <w:t xml:space="preserve">1.1. </w:t>
      </w:r>
      <w:r w:rsidRPr="00B5209F">
        <w:rPr>
          <w:sz w:val="27"/>
          <w:szCs w:val="27"/>
        </w:rPr>
        <w:t>Настоящая Методика расчета ежегодного членского взноса Ассоциации муниципального спортивного управления (далее — Методика, Ассоциация), разработана в соответствии с Гражданским кодексом Российской Федерации, Федеральным законом от 12.01.1996 № 7-ФЗ «О некоммерческих организациях», Уставом Ассоциации в целях обеспечения справедливого, прозрачного и экономически обоснованного распределения финансовой нагрузки между членами Ассоциации с учётом объективных различий в демографическом, экономическом и инфраструктурном потенциале.</w:t>
      </w:r>
    </w:p>
    <w:p w14:paraId="47F05DCE" w14:textId="77777777" w:rsidR="00765293" w:rsidRPr="00B5209F" w:rsidRDefault="00765293" w:rsidP="00765293">
      <w:pPr>
        <w:pStyle w:val="ac"/>
        <w:spacing w:line="276" w:lineRule="auto"/>
        <w:ind w:firstLine="709"/>
        <w:jc w:val="both"/>
        <w:rPr>
          <w:sz w:val="27"/>
          <w:szCs w:val="27"/>
        </w:rPr>
      </w:pPr>
      <w:r w:rsidRPr="00B5209F">
        <w:rPr>
          <w:b/>
          <w:bCs/>
          <w:sz w:val="27"/>
          <w:szCs w:val="27"/>
        </w:rPr>
        <w:t xml:space="preserve">1.2. </w:t>
      </w:r>
      <w:r w:rsidRPr="00B5209F">
        <w:rPr>
          <w:sz w:val="27"/>
          <w:szCs w:val="27"/>
        </w:rPr>
        <w:t>Методика устанавливает единый, обязательный для применения порядок расчёта размера ежегодного членского взноса для членов Ассоциации.</w:t>
      </w:r>
    </w:p>
    <w:p w14:paraId="6B4B868B" w14:textId="77777777" w:rsidR="00765293" w:rsidRPr="00B5209F" w:rsidRDefault="00765293" w:rsidP="00765293">
      <w:pPr>
        <w:pStyle w:val="ac"/>
        <w:spacing w:line="276" w:lineRule="auto"/>
        <w:ind w:firstLine="709"/>
        <w:jc w:val="both"/>
        <w:rPr>
          <w:sz w:val="27"/>
          <w:szCs w:val="27"/>
        </w:rPr>
      </w:pPr>
      <w:r w:rsidRPr="00B5209F">
        <w:rPr>
          <w:b/>
          <w:bCs/>
          <w:sz w:val="27"/>
          <w:szCs w:val="27"/>
        </w:rPr>
        <w:t xml:space="preserve">1.3. </w:t>
      </w:r>
      <w:r w:rsidRPr="00B5209F">
        <w:rPr>
          <w:sz w:val="27"/>
          <w:szCs w:val="27"/>
        </w:rPr>
        <w:t>Для целей настоящей Методики используются следующие основные понятия:</w:t>
      </w:r>
    </w:p>
    <w:p w14:paraId="4B75731D" w14:textId="77777777" w:rsidR="00765293" w:rsidRPr="00B5209F" w:rsidRDefault="00765293" w:rsidP="00765293">
      <w:pPr>
        <w:pStyle w:val="ac"/>
        <w:spacing w:line="276" w:lineRule="auto"/>
        <w:ind w:firstLine="709"/>
        <w:jc w:val="both"/>
        <w:rPr>
          <w:sz w:val="27"/>
          <w:szCs w:val="27"/>
        </w:rPr>
      </w:pPr>
      <w:r w:rsidRPr="00B5209F">
        <w:rPr>
          <w:b/>
          <w:bCs/>
          <w:i/>
          <w:iCs/>
          <w:sz w:val="27"/>
          <w:szCs w:val="27"/>
        </w:rPr>
        <w:t xml:space="preserve">базовая ставка (БС) - </w:t>
      </w:r>
      <w:r w:rsidRPr="00B5209F">
        <w:rPr>
          <w:sz w:val="27"/>
          <w:szCs w:val="27"/>
        </w:rPr>
        <w:t>фиксированная денежная величина в рублях, утверждаемая Общим собранием Ассоциации и являющаяся исходным элементом расчёта членского взноса;</w:t>
      </w:r>
    </w:p>
    <w:p w14:paraId="73CDF9AC" w14:textId="77777777" w:rsidR="00765293" w:rsidRPr="00B5209F" w:rsidRDefault="00765293" w:rsidP="00765293">
      <w:pPr>
        <w:pStyle w:val="ac"/>
        <w:spacing w:line="276" w:lineRule="auto"/>
        <w:ind w:firstLine="709"/>
        <w:jc w:val="both"/>
        <w:rPr>
          <w:b/>
          <w:i/>
          <w:sz w:val="27"/>
          <w:szCs w:val="27"/>
        </w:rPr>
      </w:pPr>
      <w:r w:rsidRPr="00B5209F">
        <w:rPr>
          <w:b/>
          <w:bCs/>
          <w:i/>
          <w:iCs/>
          <w:sz w:val="27"/>
          <w:szCs w:val="27"/>
        </w:rPr>
        <w:t xml:space="preserve">бюджетная обеспеченность (БО) - </w:t>
      </w:r>
      <w:r w:rsidRPr="00B5209F">
        <w:rPr>
          <w:sz w:val="27"/>
          <w:szCs w:val="27"/>
        </w:rPr>
        <w:t>объём собственных (налоговых и неналоговых) доходов местного бюджета в расчёте на одного жителя муниципального образования;</w:t>
      </w:r>
    </w:p>
    <w:p w14:paraId="3FF02908" w14:textId="77777777" w:rsidR="00765293" w:rsidRPr="00B5209F" w:rsidRDefault="00765293" w:rsidP="00765293">
      <w:pPr>
        <w:pStyle w:val="ac"/>
        <w:spacing w:line="276" w:lineRule="auto"/>
        <w:ind w:firstLine="709"/>
        <w:jc w:val="both"/>
        <w:rPr>
          <w:sz w:val="27"/>
          <w:szCs w:val="27"/>
        </w:rPr>
      </w:pPr>
      <w:r w:rsidRPr="00B5209F">
        <w:rPr>
          <w:b/>
          <w:i/>
          <w:sz w:val="27"/>
          <w:szCs w:val="27"/>
        </w:rPr>
        <w:t>ежегодный</w:t>
      </w:r>
      <w:r w:rsidRPr="00B5209F">
        <w:rPr>
          <w:b/>
          <w:bCs/>
          <w:i/>
          <w:iCs/>
          <w:sz w:val="27"/>
          <w:szCs w:val="27"/>
        </w:rPr>
        <w:t xml:space="preserve"> членский взнос - </w:t>
      </w:r>
      <w:r w:rsidRPr="00B5209F">
        <w:rPr>
          <w:sz w:val="27"/>
          <w:szCs w:val="27"/>
        </w:rPr>
        <w:t>обязательный имущественный взнос члена Ассоциации, уплачиваемый в порядке и размере, определённых в соответствии с настоящей Методикой;</w:t>
      </w:r>
    </w:p>
    <w:p w14:paraId="7B62E0F5" w14:textId="77777777" w:rsidR="00765293" w:rsidRPr="00B5209F" w:rsidRDefault="00765293" w:rsidP="00765293">
      <w:pPr>
        <w:pStyle w:val="ac"/>
        <w:spacing w:line="276" w:lineRule="auto"/>
        <w:ind w:firstLine="709"/>
        <w:jc w:val="both"/>
        <w:rPr>
          <w:sz w:val="27"/>
          <w:szCs w:val="27"/>
        </w:rPr>
      </w:pPr>
      <w:r w:rsidRPr="00B5209F">
        <w:rPr>
          <w:b/>
          <w:bCs/>
          <w:i/>
          <w:iCs/>
          <w:sz w:val="27"/>
          <w:szCs w:val="27"/>
        </w:rPr>
        <w:t xml:space="preserve">единовременная пропускная способность (ЕПС) - </w:t>
      </w:r>
      <w:r w:rsidRPr="00B5209F">
        <w:rPr>
          <w:sz w:val="27"/>
          <w:szCs w:val="27"/>
        </w:rPr>
        <w:t>нормативный показатель, характеризующий максимальное число лиц, которые могут одновременно заниматься физической культурой и спортом на объектах спортивной инфраструктуры муниципального образования;</w:t>
      </w:r>
    </w:p>
    <w:p w14:paraId="1B5D1B08" w14:textId="77777777" w:rsidR="00765293" w:rsidRPr="00B5209F" w:rsidRDefault="00765293" w:rsidP="00765293">
      <w:pPr>
        <w:pStyle w:val="ac"/>
        <w:spacing w:line="276" w:lineRule="auto"/>
        <w:ind w:firstLine="709"/>
        <w:jc w:val="both"/>
        <w:rPr>
          <w:sz w:val="27"/>
          <w:szCs w:val="27"/>
        </w:rPr>
      </w:pPr>
      <w:r w:rsidRPr="00B5209F">
        <w:rPr>
          <w:b/>
          <w:bCs/>
          <w:i/>
          <w:iCs/>
          <w:sz w:val="27"/>
          <w:szCs w:val="27"/>
        </w:rPr>
        <w:t>показатель обеспеченности населения спортивными сооружениями (</w:t>
      </w:r>
      <w:proofErr w:type="spellStart"/>
      <w:r w:rsidRPr="00B5209F">
        <w:rPr>
          <w:b/>
          <w:bCs/>
          <w:i/>
          <w:iCs/>
          <w:sz w:val="27"/>
          <w:szCs w:val="27"/>
        </w:rPr>
        <w:t>Есо</w:t>
      </w:r>
      <w:proofErr w:type="spellEnd"/>
      <w:r w:rsidRPr="00B5209F">
        <w:rPr>
          <w:b/>
          <w:bCs/>
          <w:i/>
          <w:iCs/>
          <w:sz w:val="27"/>
          <w:szCs w:val="27"/>
        </w:rPr>
        <w:t xml:space="preserve">) - </w:t>
      </w:r>
      <w:r w:rsidRPr="00B5209F">
        <w:rPr>
          <w:sz w:val="27"/>
          <w:szCs w:val="27"/>
        </w:rPr>
        <w:t>отношение фактической единовременной пропускной способности спортивных сооружений муниципального образования к численности его постоянного населения.</w:t>
      </w:r>
    </w:p>
    <w:p w14:paraId="5DE2B77A" w14:textId="77777777" w:rsidR="00765293" w:rsidRPr="00B5209F" w:rsidRDefault="00765293" w:rsidP="00765293">
      <w:pPr>
        <w:pStyle w:val="ac"/>
        <w:spacing w:before="240" w:after="240"/>
        <w:jc w:val="center"/>
        <w:rPr>
          <w:b/>
          <w:sz w:val="27"/>
          <w:szCs w:val="27"/>
        </w:rPr>
      </w:pPr>
      <w:r w:rsidRPr="00B5209F">
        <w:rPr>
          <w:b/>
          <w:sz w:val="27"/>
          <w:szCs w:val="27"/>
        </w:rPr>
        <w:lastRenderedPageBreak/>
        <w:t>2. Обоснование выбора модели расчёта</w:t>
      </w:r>
    </w:p>
    <w:p w14:paraId="5DA5BEA7" w14:textId="77777777" w:rsidR="00765293" w:rsidRPr="00B5209F" w:rsidRDefault="00765293" w:rsidP="00765293">
      <w:pPr>
        <w:pStyle w:val="ac"/>
        <w:spacing w:line="276" w:lineRule="auto"/>
        <w:ind w:firstLine="709"/>
        <w:jc w:val="both"/>
        <w:rPr>
          <w:sz w:val="27"/>
          <w:szCs w:val="27"/>
        </w:rPr>
      </w:pPr>
      <w:r w:rsidRPr="00B5209F">
        <w:rPr>
          <w:sz w:val="27"/>
          <w:szCs w:val="27"/>
        </w:rPr>
        <w:t>2.1. Муниципальные образования Российской Федерации характеризуются колоссальной дифференциацией по всем ключевым социально-экономическим параметрам. Численность постоянного населения варьируется от нескольких тысяч человек в сельских поселениях до полутора миллионов в крупнейших городских округах. Уровень собственных (налоговых и неналоговых) бюджетных доходов различается в десятки раз. Степень обеспеченности объектами физической культуры и спорта зависит от исторически сложившейся инфраструктурной базы, текущих инвестиционных программ и демографической структуры территории.</w:t>
      </w:r>
    </w:p>
    <w:p w14:paraId="3A8FE5C2" w14:textId="77777777" w:rsidR="00765293" w:rsidRPr="00B5209F" w:rsidRDefault="00765293" w:rsidP="00765293">
      <w:pPr>
        <w:pStyle w:val="ac"/>
        <w:spacing w:line="276" w:lineRule="auto"/>
        <w:ind w:firstLine="709"/>
        <w:jc w:val="both"/>
        <w:rPr>
          <w:sz w:val="27"/>
          <w:szCs w:val="27"/>
        </w:rPr>
      </w:pPr>
      <w:r w:rsidRPr="00B5209F">
        <w:rPr>
          <w:sz w:val="27"/>
          <w:szCs w:val="27"/>
        </w:rPr>
        <w:t>В условиях подобной неоднородности применение единой фиксированной ставки членского взноса неизбежно приводит к нарушению базового принципа справедливости: для малых дотационных образований фиксированная сумма становится запретительным барьером, лишающим их возможности межмуниципальной кооперации, тогда как для крупных экономических центров та же сумма не отражает их реальных финансовых возможностей и масштаба потенциальной вовлечённости.</w:t>
      </w:r>
    </w:p>
    <w:p w14:paraId="3D6E1C31" w14:textId="77777777" w:rsidR="00765293" w:rsidRPr="00B5209F" w:rsidRDefault="00765293" w:rsidP="00765293">
      <w:pPr>
        <w:pStyle w:val="ac"/>
        <w:spacing w:line="276" w:lineRule="auto"/>
        <w:ind w:firstLine="709"/>
        <w:jc w:val="both"/>
        <w:rPr>
          <w:sz w:val="27"/>
          <w:szCs w:val="27"/>
        </w:rPr>
      </w:pPr>
      <w:r w:rsidRPr="00B5209F">
        <w:rPr>
          <w:sz w:val="27"/>
          <w:szCs w:val="27"/>
        </w:rPr>
        <w:t>2.2. Методика реализует многофакторную модель расчёта, основанную на произведении утверждённой базовой ставки и трёх независимых корректирующих коэффициентов, каждый из которых отражает самостоятельную грань муниципального потенциала: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955"/>
      </w:tblGrid>
      <w:tr w:rsidR="00765293" w14:paraId="54856324" w14:textId="77777777" w:rsidTr="008B3A78">
        <w:tc>
          <w:tcPr>
            <w:tcW w:w="3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0B2A5B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43C600A" w14:textId="77777777" w:rsidR="00765293" w:rsidRDefault="00765293" w:rsidP="008B3A78">
            <w:pPr>
              <w:pStyle w:val="ac"/>
              <w:jc w:val="both"/>
            </w:pPr>
            <w:r>
              <w:rPr>
                <w:b/>
                <w:bCs/>
                <w:color w:val="FFFFFF"/>
                <w:sz w:val="22"/>
                <w:szCs w:val="22"/>
              </w:rPr>
              <w:t>Коэффициент</w:t>
            </w:r>
          </w:p>
        </w:tc>
        <w:tc>
          <w:tcPr>
            <w:tcW w:w="59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0B2A5B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B3D2A1C" w14:textId="77777777" w:rsidR="00765293" w:rsidRDefault="00765293" w:rsidP="008B3A78">
            <w:pPr>
              <w:pStyle w:val="ac"/>
              <w:jc w:val="both"/>
            </w:pPr>
            <w:r>
              <w:rPr>
                <w:b/>
                <w:bCs/>
                <w:color w:val="FFFFFF"/>
                <w:sz w:val="22"/>
                <w:szCs w:val="22"/>
              </w:rPr>
              <w:t>Что отражает</w:t>
            </w:r>
          </w:p>
        </w:tc>
      </w:tr>
      <w:tr w:rsidR="00765293" w14:paraId="344372D7" w14:textId="77777777" w:rsidTr="008B3A78">
        <w:tc>
          <w:tcPr>
            <w:tcW w:w="3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C39364B" w14:textId="77777777" w:rsidR="00765293" w:rsidRDefault="00765293" w:rsidP="008B3A78">
            <w:pPr>
              <w:pStyle w:val="ac"/>
              <w:jc w:val="both"/>
            </w:pPr>
            <w:proofErr w:type="spellStart"/>
            <w:r>
              <w:rPr>
                <w:b/>
                <w:bCs/>
                <w:sz w:val="22"/>
                <w:szCs w:val="22"/>
              </w:rPr>
              <w:t>Кн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— коэффициент численности населения</w:t>
            </w:r>
          </w:p>
        </w:tc>
        <w:tc>
          <w:tcPr>
            <w:tcW w:w="59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9E4A965" w14:textId="77777777" w:rsidR="00765293" w:rsidRDefault="00765293" w:rsidP="008B3A78">
            <w:pPr>
              <w:pStyle w:val="ac"/>
              <w:jc w:val="both"/>
            </w:pPr>
            <w:r>
              <w:rPr>
                <w:sz w:val="22"/>
                <w:szCs w:val="22"/>
              </w:rPr>
              <w:t>демографический масштаб муниципального образования; применяется логарифмическая функция, исключающая линейную зависимость</w:t>
            </w:r>
          </w:p>
        </w:tc>
      </w:tr>
      <w:tr w:rsidR="00765293" w14:paraId="3CA4C219" w14:textId="77777777" w:rsidTr="008B3A78">
        <w:tc>
          <w:tcPr>
            <w:tcW w:w="3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A997235" w14:textId="77777777" w:rsidR="00765293" w:rsidRDefault="00765293" w:rsidP="008B3A78">
            <w:pPr>
              <w:pStyle w:val="ac"/>
              <w:jc w:val="both"/>
            </w:pPr>
            <w:proofErr w:type="spellStart"/>
            <w:r>
              <w:rPr>
                <w:b/>
                <w:bCs/>
                <w:sz w:val="22"/>
                <w:szCs w:val="22"/>
              </w:rPr>
              <w:t>Кэ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— коэффициент экономической обеспеченности</w:t>
            </w:r>
          </w:p>
        </w:tc>
        <w:tc>
          <w:tcPr>
            <w:tcW w:w="59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BBF1567" w14:textId="77777777" w:rsidR="00765293" w:rsidRDefault="00765293" w:rsidP="008B3A78">
            <w:pPr>
              <w:pStyle w:val="ac"/>
              <w:jc w:val="both"/>
            </w:pPr>
            <w:r>
              <w:rPr>
                <w:sz w:val="22"/>
                <w:szCs w:val="22"/>
              </w:rPr>
              <w:t>реальная платёжеспособность, измеряемая подушевыми собственными доходами местного бюджета (без межбюджетных трансфертов)</w:t>
            </w:r>
          </w:p>
        </w:tc>
      </w:tr>
      <w:tr w:rsidR="00765293" w14:paraId="21077235" w14:textId="77777777" w:rsidTr="008B3A78">
        <w:tc>
          <w:tcPr>
            <w:tcW w:w="3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7B6FCF8" w14:textId="77777777" w:rsidR="00765293" w:rsidRDefault="00765293" w:rsidP="008B3A78">
            <w:pPr>
              <w:pStyle w:val="ac"/>
              <w:jc w:val="both"/>
            </w:pPr>
            <w:proofErr w:type="spellStart"/>
            <w:r>
              <w:rPr>
                <w:b/>
                <w:bCs/>
                <w:sz w:val="22"/>
                <w:szCs w:val="22"/>
              </w:rPr>
              <w:t>Кинф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— коэффициент спортивной инфраструктуры</w:t>
            </w:r>
          </w:p>
        </w:tc>
        <w:tc>
          <w:tcPr>
            <w:tcW w:w="59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2137F4C" w14:textId="77777777" w:rsidR="00765293" w:rsidRDefault="00765293" w:rsidP="008B3A78">
            <w:pPr>
              <w:pStyle w:val="ac"/>
              <w:jc w:val="both"/>
            </w:pPr>
            <w:r>
              <w:rPr>
                <w:sz w:val="22"/>
                <w:szCs w:val="22"/>
              </w:rPr>
              <w:t>уровень обеспеченности объектами физической культуры, определяемый по внутренней шкале Ассоциации на основании показателя подушевой единовременной пропускной способности (</w:t>
            </w:r>
            <w:proofErr w:type="spellStart"/>
            <w:r>
              <w:rPr>
                <w:sz w:val="22"/>
                <w:szCs w:val="22"/>
              </w:rPr>
              <w:t>Есо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</w:tbl>
    <w:p w14:paraId="35B52ECD" w14:textId="77777777" w:rsidR="00765293" w:rsidRPr="00B5209F" w:rsidRDefault="00765293" w:rsidP="00765293">
      <w:pPr>
        <w:pStyle w:val="ac"/>
        <w:ind w:firstLine="709"/>
        <w:jc w:val="both"/>
        <w:rPr>
          <w:sz w:val="27"/>
          <w:szCs w:val="27"/>
        </w:rPr>
      </w:pPr>
      <w:r w:rsidRPr="00B5209F">
        <w:rPr>
          <w:sz w:val="27"/>
          <w:szCs w:val="27"/>
        </w:rPr>
        <w:t>Результат произведения ограничи</w:t>
      </w:r>
      <w:r>
        <w:rPr>
          <w:sz w:val="27"/>
          <w:szCs w:val="27"/>
        </w:rPr>
        <w:t>вается абсолютными границами</w:t>
      </w:r>
      <w:r w:rsidRPr="00B5209F">
        <w:rPr>
          <w:sz w:val="27"/>
          <w:szCs w:val="27"/>
        </w:rPr>
        <w:t>, что гарантирует устойчивость модели при статистических выбросах в исходных данных.</w:t>
      </w:r>
    </w:p>
    <w:p w14:paraId="02D13642" w14:textId="77777777" w:rsidR="00765293" w:rsidRPr="00B5209F" w:rsidRDefault="00765293" w:rsidP="00765293">
      <w:pPr>
        <w:pStyle w:val="ac"/>
        <w:spacing w:line="276" w:lineRule="auto"/>
        <w:ind w:firstLine="709"/>
        <w:jc w:val="both"/>
        <w:rPr>
          <w:sz w:val="27"/>
          <w:szCs w:val="27"/>
        </w:rPr>
      </w:pPr>
      <w:r w:rsidRPr="00B5209F">
        <w:rPr>
          <w:sz w:val="27"/>
          <w:szCs w:val="27"/>
        </w:rPr>
        <w:t>2.3. Ключевые принципы Методики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155"/>
      </w:tblGrid>
      <w:tr w:rsidR="00765293" w14:paraId="23DABB4D" w14:textId="77777777" w:rsidTr="008B3A78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0B2A5B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F1B35E7" w14:textId="77777777" w:rsidR="00765293" w:rsidRDefault="00765293" w:rsidP="008B3A78">
            <w:pPr>
              <w:pStyle w:val="ac"/>
              <w:jc w:val="both"/>
            </w:pPr>
            <w:r>
              <w:rPr>
                <w:b/>
                <w:bCs/>
                <w:color w:val="FFFFFF"/>
                <w:sz w:val="22"/>
                <w:szCs w:val="22"/>
              </w:rPr>
              <w:t>Принцип</w:t>
            </w:r>
          </w:p>
        </w:tc>
        <w:tc>
          <w:tcPr>
            <w:tcW w:w="71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0B2A5B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1EFB40A" w14:textId="77777777" w:rsidR="00765293" w:rsidRDefault="00765293" w:rsidP="008B3A78">
            <w:pPr>
              <w:pStyle w:val="ac"/>
              <w:jc w:val="both"/>
            </w:pPr>
            <w:r>
              <w:rPr>
                <w:b/>
                <w:bCs/>
                <w:color w:val="FFFFFF"/>
                <w:sz w:val="22"/>
                <w:szCs w:val="22"/>
              </w:rPr>
              <w:t>Содержание</w:t>
            </w:r>
          </w:p>
        </w:tc>
      </w:tr>
      <w:tr w:rsidR="00765293" w14:paraId="648F6115" w14:textId="77777777" w:rsidTr="008B3A78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9504062" w14:textId="77777777" w:rsidR="00765293" w:rsidRDefault="00765293" w:rsidP="008B3A78">
            <w:pPr>
              <w:pStyle w:val="ac"/>
              <w:jc w:val="both"/>
            </w:pPr>
            <w:r>
              <w:rPr>
                <w:b/>
                <w:bCs/>
                <w:sz w:val="22"/>
                <w:szCs w:val="22"/>
              </w:rPr>
              <w:t>Справедливость</w:t>
            </w:r>
          </w:p>
        </w:tc>
        <w:tc>
          <w:tcPr>
            <w:tcW w:w="71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6C2A70D" w14:textId="77777777" w:rsidR="00765293" w:rsidRDefault="00765293" w:rsidP="008B3A78">
            <w:pPr>
              <w:pStyle w:val="ac"/>
              <w:jc w:val="both"/>
            </w:pPr>
            <w:r>
              <w:rPr>
                <w:sz w:val="21"/>
                <w:szCs w:val="21"/>
              </w:rPr>
              <w:t>Размер взноса определяется объективными характеристиками муниципального образования. Муниципалитеты, различающиеся по масштабу и экономическому потенциалу, уплачивают дифференцированные взносы.</w:t>
            </w:r>
          </w:p>
        </w:tc>
      </w:tr>
      <w:tr w:rsidR="00765293" w14:paraId="50A514A8" w14:textId="77777777" w:rsidTr="008B3A78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B8C47C8" w14:textId="77777777" w:rsidR="00765293" w:rsidRDefault="00765293" w:rsidP="008B3A78">
            <w:pPr>
              <w:pStyle w:val="ac"/>
              <w:jc w:val="both"/>
            </w:pPr>
            <w:r>
              <w:rPr>
                <w:b/>
                <w:bCs/>
                <w:sz w:val="22"/>
                <w:szCs w:val="22"/>
              </w:rPr>
              <w:t>Прозрачность</w:t>
            </w:r>
          </w:p>
        </w:tc>
        <w:tc>
          <w:tcPr>
            <w:tcW w:w="71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FAAA5BC" w14:textId="77777777" w:rsidR="00765293" w:rsidRDefault="00765293" w:rsidP="008B3A78">
            <w:pPr>
              <w:pStyle w:val="ac"/>
              <w:jc w:val="both"/>
            </w:pPr>
            <w:r>
              <w:rPr>
                <w:sz w:val="21"/>
                <w:szCs w:val="21"/>
              </w:rPr>
              <w:t>Формула расчёта едина для всех членов, основана на открытых данных официальной статистики и доступна для самостоятельной проверки каждым участником посредством электронного калькулятора на сайте Ассоциации.</w:t>
            </w:r>
          </w:p>
        </w:tc>
      </w:tr>
      <w:tr w:rsidR="00765293" w14:paraId="220C4111" w14:textId="77777777" w:rsidTr="008B3A78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8165881" w14:textId="77777777" w:rsidR="00765293" w:rsidRDefault="00765293" w:rsidP="008B3A78">
            <w:pPr>
              <w:pStyle w:val="ac"/>
              <w:jc w:val="both"/>
            </w:pPr>
            <w:r>
              <w:rPr>
                <w:b/>
                <w:bCs/>
                <w:sz w:val="22"/>
                <w:szCs w:val="22"/>
              </w:rPr>
              <w:lastRenderedPageBreak/>
              <w:t>Предсказуемость</w:t>
            </w:r>
          </w:p>
        </w:tc>
        <w:tc>
          <w:tcPr>
            <w:tcW w:w="71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C4E4726" w14:textId="77777777" w:rsidR="00765293" w:rsidRDefault="00765293" w:rsidP="008B3A78">
            <w:pPr>
              <w:pStyle w:val="ac"/>
              <w:jc w:val="both"/>
            </w:pPr>
            <w:r>
              <w:rPr>
                <w:sz w:val="21"/>
                <w:szCs w:val="21"/>
              </w:rPr>
              <w:t>Механизм округления коэффициентов и шкалирования обеспечивает стабильность размера взноса в рамках бюджетного цикла, что позволяет муниципальным образованиям планировать расходы в соответствии со статьей 174 БК РФ.</w:t>
            </w:r>
          </w:p>
        </w:tc>
      </w:tr>
      <w:tr w:rsidR="00765293" w14:paraId="14409A6E" w14:textId="77777777" w:rsidTr="008B3A78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B28EEDC" w14:textId="77777777" w:rsidR="00765293" w:rsidRDefault="00765293" w:rsidP="008B3A78">
            <w:pPr>
              <w:pStyle w:val="ac"/>
              <w:jc w:val="both"/>
            </w:pPr>
            <w:r>
              <w:rPr>
                <w:b/>
                <w:bCs/>
                <w:sz w:val="22"/>
                <w:szCs w:val="22"/>
              </w:rPr>
              <w:t>Отраслевая релевантность</w:t>
            </w:r>
          </w:p>
        </w:tc>
        <w:tc>
          <w:tcPr>
            <w:tcW w:w="71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C6044E9" w14:textId="77777777" w:rsidR="00765293" w:rsidRDefault="00765293" w:rsidP="008B3A78">
            <w:pPr>
              <w:pStyle w:val="ac"/>
              <w:jc w:val="both"/>
            </w:pPr>
            <w:r>
              <w:rPr>
                <w:sz w:val="21"/>
                <w:szCs w:val="21"/>
              </w:rPr>
              <w:t>Включение коэффициента обеспеченности спортивной инфраструктурой отражает профильный характер Ассоциации и стимулирует развитие физической культуры и массового спорта на муниципальном уровне.</w:t>
            </w:r>
          </w:p>
        </w:tc>
      </w:tr>
      <w:tr w:rsidR="00765293" w14:paraId="0DCE61E1" w14:textId="77777777" w:rsidTr="008B3A78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D712423" w14:textId="77777777" w:rsidR="00765293" w:rsidRDefault="00765293" w:rsidP="008B3A78">
            <w:pPr>
              <w:pStyle w:val="ac"/>
              <w:jc w:val="both"/>
            </w:pPr>
            <w:r>
              <w:rPr>
                <w:b/>
                <w:bCs/>
                <w:sz w:val="22"/>
                <w:szCs w:val="22"/>
              </w:rPr>
              <w:t>Доступность</w:t>
            </w:r>
          </w:p>
        </w:tc>
        <w:tc>
          <w:tcPr>
            <w:tcW w:w="71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88412B4" w14:textId="77777777" w:rsidR="00765293" w:rsidRDefault="00765293" w:rsidP="008B3A78">
            <w:pPr>
              <w:pStyle w:val="ac"/>
              <w:jc w:val="both"/>
            </w:pPr>
            <w:r>
              <w:rPr>
                <w:sz w:val="21"/>
                <w:szCs w:val="21"/>
              </w:rPr>
              <w:t>Система минимального и максимального взноса гарантирует участие муниципальных образований любого масштаба без чрезмерной нагрузки на местные бюджеты.</w:t>
            </w:r>
          </w:p>
        </w:tc>
      </w:tr>
      <w:tr w:rsidR="00765293" w14:paraId="3C279253" w14:textId="77777777" w:rsidTr="008B3A78"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18DAA16" w14:textId="77777777" w:rsidR="00765293" w:rsidRDefault="00765293" w:rsidP="008B3A78">
            <w:pPr>
              <w:pStyle w:val="ac"/>
              <w:jc w:val="both"/>
            </w:pPr>
            <w:r>
              <w:rPr>
                <w:b/>
                <w:bCs/>
                <w:sz w:val="22"/>
                <w:szCs w:val="22"/>
              </w:rPr>
              <w:t>Солидарность</w:t>
            </w:r>
          </w:p>
        </w:tc>
        <w:tc>
          <w:tcPr>
            <w:tcW w:w="71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2C2F46B" w14:textId="77777777" w:rsidR="00765293" w:rsidRDefault="00765293" w:rsidP="008B3A78">
            <w:pPr>
              <w:pStyle w:val="ac"/>
              <w:jc w:val="both"/>
            </w:pPr>
            <w:r>
              <w:rPr>
                <w:sz w:val="21"/>
                <w:szCs w:val="21"/>
              </w:rPr>
              <w:t>Крупные муниципалитеты вносят больший вклад в абсолютном выражении, но не превращаются в непропорциональных доноров Ассоциации.</w:t>
            </w:r>
          </w:p>
        </w:tc>
      </w:tr>
    </w:tbl>
    <w:p w14:paraId="552551E4" w14:textId="77777777" w:rsidR="00765293" w:rsidRPr="00E27757" w:rsidRDefault="00765293" w:rsidP="00765293">
      <w:pPr>
        <w:pStyle w:val="ac"/>
        <w:spacing w:before="240" w:after="240"/>
        <w:jc w:val="center"/>
        <w:rPr>
          <w:b/>
          <w:sz w:val="27"/>
          <w:szCs w:val="27"/>
        </w:rPr>
      </w:pPr>
      <w:r w:rsidRPr="003D6CF2">
        <w:rPr>
          <w:b/>
        </w:rPr>
        <w:t>3.</w:t>
      </w:r>
      <w:r w:rsidRPr="00E27757">
        <w:rPr>
          <w:b/>
          <w:sz w:val="27"/>
          <w:szCs w:val="27"/>
        </w:rPr>
        <w:t xml:space="preserve"> Формула расчёта </w:t>
      </w:r>
      <w:r>
        <w:rPr>
          <w:b/>
          <w:sz w:val="27"/>
          <w:szCs w:val="27"/>
        </w:rPr>
        <w:t xml:space="preserve">ежегодного </w:t>
      </w:r>
      <w:r w:rsidRPr="00E27757">
        <w:rPr>
          <w:b/>
          <w:sz w:val="27"/>
          <w:szCs w:val="27"/>
        </w:rPr>
        <w:t>членского взноса</w:t>
      </w:r>
    </w:p>
    <w:p w14:paraId="13C38C92" w14:textId="77777777" w:rsidR="00765293" w:rsidRPr="003D6CF2" w:rsidRDefault="00765293" w:rsidP="00765293">
      <w:pPr>
        <w:pStyle w:val="ac"/>
        <w:ind w:firstLine="709"/>
        <w:jc w:val="both"/>
      </w:pPr>
      <w:r w:rsidRPr="003D6CF2">
        <w:t>3.1. Расчётный размер ежегодного членского взноса определяется как произведение базовой ставки и трёх корректирующих коэффициентов, по следующей формуле:</w:t>
      </w:r>
    </w:p>
    <w:p w14:paraId="4FF4705D" w14:textId="77777777" w:rsidR="00765293" w:rsidRPr="003D6CF2" w:rsidRDefault="00765293" w:rsidP="00765293">
      <w:pPr>
        <w:pStyle w:val="ac"/>
        <w:spacing w:before="240" w:after="240"/>
        <w:ind w:firstLine="709"/>
        <w:jc w:val="both"/>
        <w:rPr>
          <w:b/>
          <w:sz w:val="32"/>
          <w:szCs w:val="32"/>
        </w:rPr>
      </w:pPr>
      <w:r w:rsidRPr="003D6CF2">
        <w:rPr>
          <w:b/>
          <w:sz w:val="32"/>
          <w:szCs w:val="32"/>
        </w:rPr>
        <w:t xml:space="preserve">ЧВ0  =  БС  ×  </w:t>
      </w:r>
      <w:proofErr w:type="spellStart"/>
      <w:r w:rsidRPr="003D6CF2">
        <w:rPr>
          <w:b/>
          <w:sz w:val="32"/>
          <w:szCs w:val="32"/>
        </w:rPr>
        <w:t>Кн</w:t>
      </w:r>
      <w:proofErr w:type="spellEnd"/>
      <w:r w:rsidRPr="003D6CF2">
        <w:rPr>
          <w:b/>
          <w:sz w:val="32"/>
          <w:szCs w:val="32"/>
        </w:rPr>
        <w:t xml:space="preserve">  ×  </w:t>
      </w:r>
      <w:proofErr w:type="spellStart"/>
      <w:r w:rsidRPr="003D6CF2">
        <w:rPr>
          <w:b/>
          <w:sz w:val="32"/>
          <w:szCs w:val="32"/>
        </w:rPr>
        <w:t>Кэ</w:t>
      </w:r>
      <w:proofErr w:type="spellEnd"/>
      <w:r w:rsidRPr="003D6CF2">
        <w:rPr>
          <w:b/>
          <w:sz w:val="32"/>
          <w:szCs w:val="32"/>
        </w:rPr>
        <w:t xml:space="preserve">  ×  </w:t>
      </w:r>
      <w:proofErr w:type="spellStart"/>
      <w:r w:rsidRPr="003D6CF2">
        <w:rPr>
          <w:b/>
          <w:sz w:val="32"/>
          <w:szCs w:val="32"/>
        </w:rPr>
        <w:t>Кинф</w:t>
      </w:r>
      <w:proofErr w:type="spellEnd"/>
      <w:r w:rsidRPr="003D6CF2">
        <w:rPr>
          <w:b/>
          <w:sz w:val="32"/>
          <w:szCs w:val="32"/>
        </w:rPr>
        <w:t>, где:</w:t>
      </w:r>
    </w:p>
    <w:p w14:paraId="6F8789E2" w14:textId="77777777" w:rsidR="00765293" w:rsidRPr="003D6CF2" w:rsidRDefault="00765293" w:rsidP="00765293">
      <w:pPr>
        <w:pStyle w:val="ac"/>
        <w:ind w:firstLine="709"/>
        <w:jc w:val="both"/>
      </w:pPr>
      <w:r w:rsidRPr="003D6CF2">
        <w:t xml:space="preserve">ЧВ0 — расчётный размер членского взноса (руб.); </w:t>
      </w:r>
    </w:p>
    <w:p w14:paraId="3DC184BC" w14:textId="77777777" w:rsidR="00765293" w:rsidRDefault="00765293" w:rsidP="00765293">
      <w:pPr>
        <w:pStyle w:val="ac"/>
        <w:ind w:firstLine="709"/>
        <w:jc w:val="both"/>
      </w:pPr>
      <w:r w:rsidRPr="003D6CF2">
        <w:t>БС — базовая ставка</w:t>
      </w:r>
      <w:r>
        <w:t>,</w:t>
      </w:r>
      <w:r w:rsidRPr="003D6CF2">
        <w:rPr>
          <w:i/>
          <w:color w:val="00B050"/>
        </w:rPr>
        <w:t xml:space="preserve"> утверждаемая решением Совета Ассоциации;</w:t>
      </w:r>
    </w:p>
    <w:p w14:paraId="440DEDD9" w14:textId="77777777" w:rsidR="00765293" w:rsidRPr="003D6CF2" w:rsidRDefault="00765293" w:rsidP="00765293">
      <w:pPr>
        <w:pStyle w:val="ac"/>
        <w:ind w:firstLine="709"/>
        <w:jc w:val="both"/>
      </w:pPr>
      <w:proofErr w:type="spellStart"/>
      <w:r w:rsidRPr="003D6CF2">
        <w:t>Кн</w:t>
      </w:r>
      <w:proofErr w:type="spellEnd"/>
      <w:r w:rsidRPr="003D6CF2">
        <w:t xml:space="preserve"> — коэффициент численности населения; </w:t>
      </w:r>
    </w:p>
    <w:p w14:paraId="656A7798" w14:textId="77777777" w:rsidR="00765293" w:rsidRPr="003D6CF2" w:rsidRDefault="00765293" w:rsidP="00765293">
      <w:pPr>
        <w:pStyle w:val="ac"/>
        <w:ind w:firstLine="709"/>
        <w:jc w:val="both"/>
      </w:pPr>
      <w:proofErr w:type="spellStart"/>
      <w:r w:rsidRPr="003D6CF2">
        <w:t>Кэ</w:t>
      </w:r>
      <w:proofErr w:type="spellEnd"/>
      <w:r w:rsidRPr="003D6CF2">
        <w:t xml:space="preserve"> — коэффициент экономической обеспеченности; </w:t>
      </w:r>
    </w:p>
    <w:p w14:paraId="407AF349" w14:textId="77777777" w:rsidR="00765293" w:rsidRDefault="00765293" w:rsidP="00765293">
      <w:pPr>
        <w:pStyle w:val="ac"/>
        <w:ind w:firstLine="709"/>
        <w:jc w:val="both"/>
      </w:pPr>
      <w:proofErr w:type="spellStart"/>
      <w:r w:rsidRPr="003D6CF2">
        <w:t>Кинф</w:t>
      </w:r>
      <w:proofErr w:type="spellEnd"/>
      <w:r w:rsidRPr="003D6CF2">
        <w:t xml:space="preserve"> — коэффициент спортивной инфраструктуры.</w:t>
      </w:r>
    </w:p>
    <w:p w14:paraId="47D41508" w14:textId="77777777" w:rsidR="00765293" w:rsidRPr="003D6CF2" w:rsidRDefault="00765293" w:rsidP="00765293">
      <w:pPr>
        <w:pStyle w:val="ac"/>
        <w:spacing w:line="276" w:lineRule="auto"/>
        <w:ind w:firstLine="709"/>
        <w:jc w:val="both"/>
        <w:rPr>
          <w:bCs/>
          <w:color w:val="0B2A5B"/>
          <w:sz w:val="16"/>
          <w:szCs w:val="16"/>
        </w:rPr>
      </w:pPr>
    </w:p>
    <w:p w14:paraId="2E37A1C2" w14:textId="77777777" w:rsidR="00765293" w:rsidRDefault="00765293" w:rsidP="00765293">
      <w:pPr>
        <w:pStyle w:val="ac"/>
        <w:spacing w:line="276" w:lineRule="auto"/>
        <w:ind w:firstLine="709"/>
        <w:jc w:val="both"/>
      </w:pPr>
      <w:r w:rsidRPr="003D6CF2">
        <w:rPr>
          <w:bCs/>
        </w:rPr>
        <w:t>3.2</w:t>
      </w:r>
      <w:r>
        <w:rPr>
          <w:b/>
          <w:bCs/>
        </w:rPr>
        <w:t xml:space="preserve">. </w:t>
      </w:r>
      <w:r>
        <w:t xml:space="preserve">Итоговый размер </w:t>
      </w:r>
      <w:r w:rsidRPr="003D6CF2">
        <w:t xml:space="preserve">ежегодного </w:t>
      </w:r>
      <w:r>
        <w:t xml:space="preserve">членского взноса (ЧВ) определяется </w:t>
      </w:r>
      <w:r>
        <w:br/>
        <w:t>с учётом нижней и верхней абсолютных границ, где:</w:t>
      </w:r>
    </w:p>
    <w:p w14:paraId="27455EC1" w14:textId="77777777" w:rsidR="00765293" w:rsidRDefault="00765293" w:rsidP="00765293">
      <w:pPr>
        <w:pStyle w:val="ac"/>
        <w:spacing w:line="276" w:lineRule="auto"/>
        <w:ind w:firstLine="709"/>
        <w:jc w:val="both"/>
      </w:pPr>
    </w:p>
    <w:tbl>
      <w:tblPr>
        <w:tblW w:w="935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"/>
        <w:gridCol w:w="2319"/>
        <w:gridCol w:w="295"/>
        <w:gridCol w:w="6144"/>
      </w:tblGrid>
      <w:tr w:rsidR="00765293" w14:paraId="77B1172F" w14:textId="77777777" w:rsidTr="008B3A78">
        <w:tc>
          <w:tcPr>
            <w:tcW w:w="200" w:type="dx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B50CC56" w14:textId="77777777" w:rsidR="00765293" w:rsidRDefault="00765293" w:rsidP="008B3A78">
            <w:pPr>
              <w:pStyle w:val="ac"/>
            </w:pPr>
            <w:r>
              <w:rPr>
                <w:b/>
                <w:bCs/>
                <w:i/>
                <w:iCs/>
              </w:rPr>
              <w:t>ЧВ</w:t>
            </w:r>
            <w:r>
              <w:t xml:space="preserve">  =</w:t>
            </w:r>
          </w:p>
        </w:tc>
        <w:tc>
          <w:tcPr>
            <w:tcW w:w="2400" w:type="dxa"/>
            <w:tcBorders>
              <w:left w:val="single" w:sz="1" w:space="0" w:color="999999"/>
            </w:tcBorders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55BBB7E3" w14:textId="77777777" w:rsidR="00765293" w:rsidRDefault="00765293" w:rsidP="008B3A78">
            <w:pPr>
              <w:pStyle w:val="ac"/>
            </w:pPr>
            <w:proofErr w:type="spellStart"/>
            <w:r w:rsidRPr="009E5E58">
              <w:rPr>
                <w:b/>
                <w:bCs/>
                <w:sz w:val="26"/>
                <w:szCs w:val="26"/>
              </w:rPr>
              <w:t>В</w:t>
            </w:r>
            <w:r w:rsidRPr="009E5E58">
              <w:rPr>
                <w:sz w:val="18"/>
                <w:szCs w:val="18"/>
              </w:rPr>
              <w:t>мин</w:t>
            </w:r>
            <w:proofErr w:type="spellEnd"/>
            <w:r>
              <w:rPr>
                <w:sz w:val="26"/>
                <w:szCs w:val="26"/>
              </w:rPr>
              <w:t xml:space="preserve"> ,</w:t>
            </w:r>
          </w:p>
        </w:tc>
        <w:tc>
          <w:tcPr>
            <w:tcW w:w="300" w:type="dx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D8A6598" w14:textId="77777777" w:rsidR="00765293" w:rsidRDefault="00765293" w:rsidP="008B3A78">
            <w:pPr>
              <w:pStyle w:val="ac"/>
            </w:pPr>
          </w:p>
        </w:tc>
        <w:tc>
          <w:tcPr>
            <w:tcW w:w="6455" w:type="dx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16841CC" w14:textId="77777777" w:rsidR="00765293" w:rsidRDefault="00765293" w:rsidP="008B3A78">
            <w:pPr>
              <w:pStyle w:val="ac"/>
            </w:pPr>
            <w:r>
              <w:rPr>
                <w:sz w:val="24"/>
                <w:szCs w:val="24"/>
              </w:rPr>
              <w:t>если  ЧВ</w:t>
            </w:r>
            <w:r>
              <w:rPr>
                <w:sz w:val="18"/>
                <w:szCs w:val="18"/>
                <w:vertAlign w:val="subscript"/>
              </w:rPr>
              <w:t>0</w:t>
            </w:r>
            <w:r>
              <w:rPr>
                <w:sz w:val="24"/>
                <w:szCs w:val="24"/>
              </w:rPr>
              <w:t xml:space="preserve">  &lt;  </w:t>
            </w:r>
            <w:proofErr w:type="spellStart"/>
            <w:r w:rsidRPr="009E5E58">
              <w:rPr>
                <w:sz w:val="24"/>
                <w:szCs w:val="24"/>
              </w:rPr>
              <w:t>В</w:t>
            </w:r>
            <w:r w:rsidRPr="009E5E58">
              <w:rPr>
                <w:sz w:val="18"/>
                <w:szCs w:val="18"/>
              </w:rPr>
              <w:t>мин</w:t>
            </w:r>
            <w:proofErr w:type="spellEnd"/>
          </w:p>
        </w:tc>
      </w:tr>
      <w:tr w:rsidR="00765293" w14:paraId="32E35A32" w14:textId="77777777" w:rsidTr="008B3A78">
        <w:tc>
          <w:tcPr>
            <w:tcW w:w="200" w:type="dx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FD34B60" w14:textId="77777777" w:rsidR="00765293" w:rsidRDefault="00765293" w:rsidP="008B3A78">
            <w:pPr>
              <w:pStyle w:val="ac"/>
            </w:pPr>
          </w:p>
        </w:tc>
        <w:tc>
          <w:tcPr>
            <w:tcW w:w="2400" w:type="dxa"/>
            <w:tcBorders>
              <w:left w:val="single" w:sz="1" w:space="0" w:color="999999"/>
            </w:tcBorders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47FF91E5" w14:textId="77777777" w:rsidR="00765293" w:rsidRDefault="00765293" w:rsidP="008B3A78">
            <w:pPr>
              <w:pStyle w:val="ac"/>
            </w:pPr>
            <w:r>
              <w:rPr>
                <w:b/>
                <w:bCs/>
                <w:i/>
                <w:iCs/>
                <w:sz w:val="26"/>
                <w:szCs w:val="26"/>
              </w:rPr>
              <w:t>ЧВ</w:t>
            </w:r>
            <w:r>
              <w:rPr>
                <w:sz w:val="18"/>
                <w:szCs w:val="18"/>
                <w:vertAlign w:val="subscript"/>
              </w:rPr>
              <w:t>0</w:t>
            </w:r>
            <w:r>
              <w:rPr>
                <w:sz w:val="26"/>
                <w:szCs w:val="26"/>
              </w:rPr>
              <w:t xml:space="preserve"> ,</w:t>
            </w:r>
          </w:p>
        </w:tc>
        <w:tc>
          <w:tcPr>
            <w:tcW w:w="300" w:type="dx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28CC6DF" w14:textId="77777777" w:rsidR="00765293" w:rsidRDefault="00765293" w:rsidP="008B3A78">
            <w:pPr>
              <w:pStyle w:val="ac"/>
            </w:pPr>
          </w:p>
        </w:tc>
        <w:tc>
          <w:tcPr>
            <w:tcW w:w="6455" w:type="dx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DB63A31" w14:textId="77777777" w:rsidR="00765293" w:rsidRDefault="00765293" w:rsidP="008B3A78">
            <w:pPr>
              <w:pStyle w:val="ac"/>
            </w:pPr>
            <w:r>
              <w:rPr>
                <w:sz w:val="24"/>
                <w:szCs w:val="24"/>
              </w:rPr>
              <w:t xml:space="preserve">если  </w:t>
            </w:r>
            <w:proofErr w:type="spellStart"/>
            <w:r w:rsidRPr="009E5E58">
              <w:rPr>
                <w:sz w:val="24"/>
                <w:szCs w:val="24"/>
              </w:rPr>
              <w:t>В</w:t>
            </w:r>
            <w:r w:rsidRPr="009E5E58">
              <w:rPr>
                <w:sz w:val="18"/>
                <w:szCs w:val="18"/>
              </w:rPr>
              <w:t>мин</w:t>
            </w:r>
            <w:proofErr w:type="spellEnd"/>
            <w:r>
              <w:rPr>
                <w:sz w:val="24"/>
                <w:szCs w:val="24"/>
              </w:rPr>
              <w:t xml:space="preserve">  ≤  ЧВ</w:t>
            </w:r>
            <w:r>
              <w:rPr>
                <w:sz w:val="18"/>
                <w:szCs w:val="18"/>
                <w:vertAlign w:val="subscript"/>
              </w:rPr>
              <w:t>0</w:t>
            </w:r>
            <w:r>
              <w:rPr>
                <w:sz w:val="24"/>
                <w:szCs w:val="24"/>
              </w:rPr>
              <w:t xml:space="preserve">  ≤  </w:t>
            </w:r>
            <w:proofErr w:type="spellStart"/>
            <w:r w:rsidRPr="009E5E58">
              <w:rPr>
                <w:sz w:val="24"/>
                <w:szCs w:val="24"/>
              </w:rPr>
              <w:t>В</w:t>
            </w:r>
            <w:r w:rsidRPr="009E5E58">
              <w:rPr>
                <w:sz w:val="18"/>
                <w:szCs w:val="18"/>
              </w:rPr>
              <w:t>макс</w:t>
            </w:r>
            <w:proofErr w:type="spellEnd"/>
          </w:p>
        </w:tc>
      </w:tr>
      <w:tr w:rsidR="00765293" w14:paraId="1D22AEAD" w14:textId="77777777" w:rsidTr="008B3A78">
        <w:tc>
          <w:tcPr>
            <w:tcW w:w="200" w:type="dx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707F552" w14:textId="77777777" w:rsidR="00765293" w:rsidRDefault="00765293" w:rsidP="008B3A78">
            <w:pPr>
              <w:pStyle w:val="ac"/>
            </w:pPr>
          </w:p>
        </w:tc>
        <w:tc>
          <w:tcPr>
            <w:tcW w:w="2400" w:type="dxa"/>
            <w:tcBorders>
              <w:left w:val="single" w:sz="1" w:space="0" w:color="999999"/>
            </w:tcBorders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675B3DBA" w14:textId="77777777" w:rsidR="00765293" w:rsidRDefault="00765293" w:rsidP="008B3A78">
            <w:pPr>
              <w:pStyle w:val="ac"/>
            </w:pPr>
            <w:proofErr w:type="spellStart"/>
            <w:r w:rsidRPr="009E5E58">
              <w:rPr>
                <w:b/>
                <w:bCs/>
                <w:sz w:val="26"/>
                <w:szCs w:val="26"/>
              </w:rPr>
              <w:t>В</w:t>
            </w:r>
            <w:r w:rsidRPr="009E5E58">
              <w:rPr>
                <w:sz w:val="18"/>
                <w:szCs w:val="18"/>
              </w:rPr>
              <w:t>макс</w:t>
            </w:r>
            <w:proofErr w:type="spellEnd"/>
            <w:r>
              <w:rPr>
                <w:sz w:val="26"/>
                <w:szCs w:val="26"/>
              </w:rPr>
              <w:t>,</w:t>
            </w:r>
          </w:p>
        </w:tc>
        <w:tc>
          <w:tcPr>
            <w:tcW w:w="300" w:type="dx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25BFAD6" w14:textId="77777777" w:rsidR="00765293" w:rsidRDefault="00765293" w:rsidP="008B3A78">
            <w:pPr>
              <w:pStyle w:val="ac"/>
            </w:pPr>
          </w:p>
        </w:tc>
        <w:tc>
          <w:tcPr>
            <w:tcW w:w="6455" w:type="dxa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DB2BDA9" w14:textId="77777777" w:rsidR="00765293" w:rsidRDefault="00765293" w:rsidP="008B3A78">
            <w:pPr>
              <w:pStyle w:val="ac"/>
            </w:pPr>
            <w:r>
              <w:rPr>
                <w:sz w:val="24"/>
                <w:szCs w:val="24"/>
              </w:rPr>
              <w:t>если  ЧВ</w:t>
            </w:r>
            <w:r>
              <w:rPr>
                <w:sz w:val="18"/>
                <w:szCs w:val="18"/>
                <w:vertAlign w:val="subscript"/>
              </w:rPr>
              <w:t>0</w:t>
            </w:r>
            <w:r>
              <w:rPr>
                <w:sz w:val="24"/>
                <w:szCs w:val="24"/>
              </w:rPr>
              <w:t xml:space="preserve">  &gt;  </w:t>
            </w:r>
            <w:proofErr w:type="spellStart"/>
            <w:r w:rsidRPr="009E5E58">
              <w:rPr>
                <w:sz w:val="24"/>
                <w:szCs w:val="24"/>
              </w:rPr>
              <w:t>В</w:t>
            </w:r>
            <w:r w:rsidRPr="009E5E58">
              <w:rPr>
                <w:sz w:val="18"/>
                <w:szCs w:val="18"/>
              </w:rPr>
              <w:t>макс</w:t>
            </w:r>
            <w:proofErr w:type="spellEnd"/>
          </w:p>
        </w:tc>
      </w:tr>
    </w:tbl>
    <w:p w14:paraId="5693D1C0" w14:textId="77777777" w:rsidR="00765293" w:rsidRDefault="00765293" w:rsidP="00765293">
      <w:pPr>
        <w:spacing w:before="60" w:after="60"/>
      </w:pPr>
    </w:p>
    <w:p w14:paraId="7FE2A7B6" w14:textId="77777777" w:rsidR="00765293" w:rsidRPr="009E5E58" w:rsidRDefault="00765293" w:rsidP="00765293">
      <w:pPr>
        <w:pStyle w:val="ac"/>
        <w:ind w:firstLine="709"/>
        <w:jc w:val="both"/>
        <w:rPr>
          <w:color w:val="00B050"/>
          <w:sz w:val="27"/>
          <w:szCs w:val="27"/>
        </w:rPr>
      </w:pPr>
      <w:proofErr w:type="spellStart"/>
      <w:r w:rsidRPr="00E27757">
        <w:rPr>
          <w:b/>
          <w:bCs/>
          <w:color w:val="0B2A5B"/>
          <w:sz w:val="27"/>
          <w:szCs w:val="27"/>
        </w:rPr>
        <w:t>Вмин</w:t>
      </w:r>
      <w:proofErr w:type="spellEnd"/>
      <w:r>
        <w:rPr>
          <w:b/>
          <w:bCs/>
          <w:color w:val="0B2A5B"/>
          <w:sz w:val="27"/>
          <w:szCs w:val="27"/>
        </w:rPr>
        <w:t xml:space="preserve"> - </w:t>
      </w:r>
      <w:r w:rsidRPr="00E27757">
        <w:rPr>
          <w:sz w:val="27"/>
          <w:szCs w:val="27"/>
        </w:rPr>
        <w:t>минимальный размер членского взн</w:t>
      </w:r>
      <w:r>
        <w:rPr>
          <w:sz w:val="27"/>
          <w:szCs w:val="27"/>
        </w:rPr>
        <w:t xml:space="preserve">оса (нижняя абсолютная граница), </w:t>
      </w:r>
      <w:r w:rsidRPr="009E5E58">
        <w:rPr>
          <w:i/>
          <w:color w:val="00B050"/>
          <w:sz w:val="27"/>
          <w:szCs w:val="27"/>
        </w:rPr>
        <w:t>утверждаемая решением Совета Ассоциации;</w:t>
      </w:r>
    </w:p>
    <w:p w14:paraId="3548DFB6" w14:textId="77777777" w:rsidR="00765293" w:rsidRPr="00E27757" w:rsidRDefault="00765293" w:rsidP="00765293">
      <w:pPr>
        <w:pStyle w:val="ac"/>
        <w:ind w:firstLine="709"/>
        <w:jc w:val="both"/>
        <w:rPr>
          <w:sz w:val="27"/>
          <w:szCs w:val="27"/>
        </w:rPr>
      </w:pPr>
      <w:proofErr w:type="spellStart"/>
      <w:r w:rsidRPr="00E27757">
        <w:rPr>
          <w:b/>
          <w:bCs/>
          <w:color w:val="0B2A5B"/>
          <w:sz w:val="27"/>
          <w:szCs w:val="27"/>
        </w:rPr>
        <w:t>Вмакс</w:t>
      </w:r>
      <w:proofErr w:type="spellEnd"/>
      <w:r>
        <w:rPr>
          <w:b/>
          <w:bCs/>
          <w:color w:val="0B2A5B"/>
          <w:sz w:val="27"/>
          <w:szCs w:val="27"/>
        </w:rPr>
        <w:t xml:space="preserve"> - </w:t>
      </w:r>
      <w:r w:rsidRPr="00E27757">
        <w:rPr>
          <w:sz w:val="27"/>
          <w:szCs w:val="27"/>
        </w:rPr>
        <w:t>максимальный размер членского взноса (верх</w:t>
      </w:r>
      <w:r>
        <w:rPr>
          <w:sz w:val="27"/>
          <w:szCs w:val="27"/>
        </w:rPr>
        <w:t xml:space="preserve">няя абсолютная граница), </w:t>
      </w:r>
      <w:r w:rsidRPr="009E5E58">
        <w:rPr>
          <w:i/>
          <w:color w:val="00B050"/>
          <w:sz w:val="27"/>
          <w:szCs w:val="27"/>
        </w:rPr>
        <w:t>утверждаемая решением Совета Ассоциации.</w:t>
      </w:r>
    </w:p>
    <w:p w14:paraId="47BB26DA" w14:textId="77777777" w:rsidR="00765293" w:rsidRDefault="00765293" w:rsidP="00765293">
      <w:pPr>
        <w:pStyle w:val="ac"/>
        <w:ind w:firstLine="709"/>
        <w:jc w:val="both"/>
        <w:rPr>
          <w:sz w:val="27"/>
          <w:szCs w:val="27"/>
        </w:rPr>
      </w:pPr>
      <w:r w:rsidRPr="00E27757">
        <w:rPr>
          <w:bCs/>
          <w:sz w:val="27"/>
          <w:szCs w:val="27"/>
        </w:rPr>
        <w:t>3.</w:t>
      </w:r>
      <w:r>
        <w:rPr>
          <w:bCs/>
          <w:sz w:val="27"/>
          <w:szCs w:val="27"/>
        </w:rPr>
        <w:t>3</w:t>
      </w:r>
      <w:r w:rsidRPr="00E27757">
        <w:rPr>
          <w:bCs/>
          <w:sz w:val="27"/>
          <w:szCs w:val="27"/>
        </w:rPr>
        <w:t>.</w:t>
      </w:r>
      <w:r w:rsidRPr="00E27757">
        <w:rPr>
          <w:b/>
          <w:bCs/>
          <w:sz w:val="27"/>
          <w:szCs w:val="27"/>
        </w:rPr>
        <w:t xml:space="preserve"> </w:t>
      </w:r>
      <w:r w:rsidRPr="00E27757">
        <w:rPr>
          <w:sz w:val="27"/>
          <w:szCs w:val="27"/>
        </w:rPr>
        <w:t>Изменение базов</w:t>
      </w:r>
      <w:r>
        <w:rPr>
          <w:sz w:val="27"/>
          <w:szCs w:val="27"/>
        </w:rPr>
        <w:t>ой</w:t>
      </w:r>
      <w:r w:rsidRPr="00E27757">
        <w:rPr>
          <w:sz w:val="27"/>
          <w:szCs w:val="27"/>
        </w:rPr>
        <w:t xml:space="preserve"> </w:t>
      </w:r>
      <w:r>
        <w:rPr>
          <w:sz w:val="27"/>
          <w:szCs w:val="27"/>
        </w:rPr>
        <w:t>ставки</w:t>
      </w:r>
      <w:r w:rsidRPr="00E27757">
        <w:rPr>
          <w:sz w:val="27"/>
          <w:szCs w:val="27"/>
        </w:rPr>
        <w:t>,</w:t>
      </w:r>
      <w:r>
        <w:rPr>
          <w:sz w:val="27"/>
          <w:szCs w:val="27"/>
        </w:rPr>
        <w:t xml:space="preserve"> а также </w:t>
      </w:r>
      <w:r w:rsidRPr="009E5E58">
        <w:rPr>
          <w:sz w:val="27"/>
          <w:szCs w:val="27"/>
        </w:rPr>
        <w:t>нижн</w:t>
      </w:r>
      <w:r>
        <w:rPr>
          <w:sz w:val="27"/>
          <w:szCs w:val="27"/>
        </w:rPr>
        <w:t>ей и верхней абсолютных границ</w:t>
      </w:r>
      <w:r w:rsidRPr="00E27757">
        <w:rPr>
          <w:sz w:val="27"/>
          <w:szCs w:val="27"/>
        </w:rPr>
        <w:t xml:space="preserve"> допускается не чаще одного раза в год решени</w:t>
      </w:r>
      <w:r>
        <w:rPr>
          <w:sz w:val="27"/>
          <w:szCs w:val="27"/>
        </w:rPr>
        <w:t>ем</w:t>
      </w:r>
      <w:r w:rsidRPr="00E27757">
        <w:rPr>
          <w:sz w:val="27"/>
          <w:szCs w:val="27"/>
        </w:rPr>
        <w:t xml:space="preserve"> </w:t>
      </w:r>
      <w:r>
        <w:rPr>
          <w:sz w:val="27"/>
          <w:szCs w:val="27"/>
        </w:rPr>
        <w:t>Совета</w:t>
      </w:r>
      <w:r w:rsidRPr="00E27757">
        <w:rPr>
          <w:sz w:val="27"/>
          <w:szCs w:val="27"/>
        </w:rPr>
        <w:t xml:space="preserve"> Ассоциации с учётом индекса потребительских це</w:t>
      </w:r>
      <w:r>
        <w:rPr>
          <w:sz w:val="27"/>
          <w:szCs w:val="27"/>
        </w:rPr>
        <w:t>н, публикуемого Росстатом</w:t>
      </w:r>
      <w:r w:rsidRPr="00E27757">
        <w:rPr>
          <w:sz w:val="27"/>
          <w:szCs w:val="27"/>
        </w:rPr>
        <w:t>.</w:t>
      </w:r>
    </w:p>
    <w:p w14:paraId="71CE5BF3" w14:textId="77777777" w:rsidR="00765293" w:rsidRDefault="00765293" w:rsidP="00765293">
      <w:pPr>
        <w:pStyle w:val="ac"/>
        <w:ind w:firstLine="709"/>
        <w:jc w:val="both"/>
        <w:rPr>
          <w:sz w:val="27"/>
          <w:szCs w:val="27"/>
        </w:rPr>
      </w:pPr>
    </w:p>
    <w:p w14:paraId="14AA628E" w14:textId="77777777" w:rsidR="00765293" w:rsidRDefault="00765293" w:rsidP="00765293">
      <w:pPr>
        <w:pStyle w:val="ac"/>
        <w:ind w:firstLine="709"/>
        <w:jc w:val="both"/>
        <w:rPr>
          <w:sz w:val="27"/>
          <w:szCs w:val="27"/>
        </w:rPr>
      </w:pPr>
    </w:p>
    <w:p w14:paraId="67939D01" w14:textId="77777777" w:rsidR="00765293" w:rsidRDefault="00765293" w:rsidP="00765293">
      <w:pPr>
        <w:pStyle w:val="ac"/>
        <w:ind w:firstLine="709"/>
        <w:jc w:val="both"/>
        <w:rPr>
          <w:sz w:val="27"/>
          <w:szCs w:val="27"/>
        </w:rPr>
      </w:pPr>
    </w:p>
    <w:p w14:paraId="24FB0AC7" w14:textId="77777777" w:rsidR="00765293" w:rsidRPr="00E27757" w:rsidRDefault="00765293" w:rsidP="00765293">
      <w:pPr>
        <w:pStyle w:val="ac"/>
        <w:ind w:firstLine="709"/>
        <w:jc w:val="both"/>
        <w:rPr>
          <w:sz w:val="27"/>
          <w:szCs w:val="27"/>
        </w:rPr>
      </w:pPr>
    </w:p>
    <w:p w14:paraId="4DD93ED9" w14:textId="77777777" w:rsidR="00765293" w:rsidRPr="00EE6D17" w:rsidRDefault="00765293" w:rsidP="00765293">
      <w:pPr>
        <w:pStyle w:val="ac"/>
        <w:spacing w:after="240"/>
        <w:jc w:val="center"/>
        <w:rPr>
          <w:b/>
        </w:rPr>
      </w:pPr>
      <w:r w:rsidRPr="00EE6D17">
        <w:rPr>
          <w:b/>
        </w:rPr>
        <w:lastRenderedPageBreak/>
        <w:t>4. Коэффициент численности населения (</w:t>
      </w:r>
      <w:proofErr w:type="spellStart"/>
      <w:r>
        <w:rPr>
          <w:b/>
        </w:rPr>
        <w:t>К</w:t>
      </w:r>
      <w:r w:rsidRPr="00EE6D17">
        <w:rPr>
          <w:b/>
        </w:rPr>
        <w:t>н</w:t>
      </w:r>
      <w:proofErr w:type="spellEnd"/>
      <w:r w:rsidRPr="00EE6D17">
        <w:rPr>
          <w:b/>
        </w:rPr>
        <w:t>)</w:t>
      </w:r>
    </w:p>
    <w:p w14:paraId="224CDA68" w14:textId="77777777" w:rsidR="00765293" w:rsidRDefault="00765293" w:rsidP="00765293">
      <w:pPr>
        <w:pStyle w:val="ac"/>
        <w:ind w:firstLine="709"/>
        <w:jc w:val="both"/>
      </w:pPr>
      <w:r>
        <w:rPr>
          <w:b/>
          <w:bCs/>
        </w:rPr>
        <w:t xml:space="preserve">4.1. </w:t>
      </w:r>
      <w:r>
        <w:t xml:space="preserve">Коэффициент численности населения (далее — </w:t>
      </w:r>
      <w:proofErr w:type="spellStart"/>
      <w:r>
        <w:t>Кн</w:t>
      </w:r>
      <w:proofErr w:type="spellEnd"/>
      <w:r>
        <w:t>) отражает демографический масштаб муниципального образования и определяется по формуле:</w:t>
      </w:r>
    </w:p>
    <w:p w14:paraId="79639DDF" w14:textId="77777777" w:rsidR="00765293" w:rsidRDefault="00765293" w:rsidP="00765293">
      <w:pPr>
        <w:pStyle w:val="ac"/>
        <w:ind w:firstLine="709"/>
        <w:jc w:val="both"/>
        <w:rPr>
          <w:b/>
          <w:bCs/>
          <w:color w:val="0B2A5B"/>
          <w:sz w:val="32"/>
          <w:szCs w:val="32"/>
        </w:rPr>
      </w:pPr>
      <w:proofErr w:type="spellStart"/>
      <w:r w:rsidRPr="00776632">
        <w:rPr>
          <w:b/>
          <w:bCs/>
          <w:color w:val="0B2A5B"/>
          <w:sz w:val="32"/>
          <w:szCs w:val="32"/>
        </w:rPr>
        <w:t>Кн</w:t>
      </w:r>
      <w:proofErr w:type="spellEnd"/>
      <w:r w:rsidRPr="00776632">
        <w:rPr>
          <w:b/>
          <w:bCs/>
          <w:color w:val="0B2A5B"/>
          <w:sz w:val="32"/>
          <w:szCs w:val="32"/>
        </w:rPr>
        <w:t xml:space="preserve"> = ОКРУГЛ(MAX(1,0; MIN(2,0; 0,3 × </w:t>
      </w:r>
      <w:proofErr w:type="spellStart"/>
      <w:r w:rsidRPr="00776632">
        <w:rPr>
          <w:b/>
          <w:bCs/>
          <w:color w:val="0B2A5B"/>
          <w:sz w:val="32"/>
          <w:szCs w:val="32"/>
        </w:rPr>
        <w:t>lg</w:t>
      </w:r>
      <w:proofErr w:type="spellEnd"/>
      <w:r w:rsidRPr="00776632">
        <w:rPr>
          <w:b/>
          <w:bCs/>
          <w:color w:val="0B2A5B"/>
          <w:sz w:val="32"/>
          <w:szCs w:val="32"/>
        </w:rPr>
        <w:t>(N))); 1)</w:t>
      </w:r>
    </w:p>
    <w:p w14:paraId="7DAC68E5" w14:textId="77777777" w:rsidR="00765293" w:rsidRPr="00776632" w:rsidRDefault="00765293" w:rsidP="00765293">
      <w:pPr>
        <w:pStyle w:val="ac"/>
        <w:ind w:firstLine="709"/>
        <w:jc w:val="both"/>
        <w:rPr>
          <w:sz w:val="16"/>
          <w:szCs w:val="16"/>
        </w:rPr>
      </w:pPr>
    </w:p>
    <w:p w14:paraId="5A41272E" w14:textId="77777777" w:rsidR="00765293" w:rsidRDefault="00765293" w:rsidP="00765293">
      <w:pPr>
        <w:pStyle w:val="ac"/>
        <w:ind w:firstLine="709"/>
        <w:jc w:val="both"/>
      </w:pPr>
      <w:r>
        <w:rPr>
          <w:i/>
          <w:iCs/>
        </w:rPr>
        <w:t xml:space="preserve">где </w:t>
      </w:r>
      <w:r>
        <w:rPr>
          <w:b/>
          <w:bCs/>
        </w:rPr>
        <w:t>N</w:t>
      </w:r>
      <w:r>
        <w:t xml:space="preserve"> — численность постоянного населения муниципального образования по данным Федеральной службы государственной статистики (Росстат) по состоянию на 1 января текущего года (форма федерального статистического наблюдения № 1-НМ, База данных показателей муниципальных образований);</w:t>
      </w:r>
    </w:p>
    <w:p w14:paraId="1088F1A5" w14:textId="77777777" w:rsidR="00765293" w:rsidRDefault="00765293" w:rsidP="00765293">
      <w:pPr>
        <w:pStyle w:val="ac"/>
        <w:ind w:firstLine="709"/>
        <w:jc w:val="both"/>
      </w:pPr>
      <w:proofErr w:type="spellStart"/>
      <w:r>
        <w:rPr>
          <w:b/>
          <w:bCs/>
        </w:rPr>
        <w:t>lg</w:t>
      </w:r>
      <w:proofErr w:type="spellEnd"/>
      <w:r>
        <w:rPr>
          <w:b/>
          <w:bCs/>
        </w:rPr>
        <w:t>(N)</w:t>
      </w:r>
      <w:r>
        <w:t xml:space="preserve"> — десятичный логарифм численности населения;</w:t>
      </w:r>
    </w:p>
    <w:p w14:paraId="70AB09ED" w14:textId="77777777" w:rsidR="00765293" w:rsidRDefault="00765293" w:rsidP="00765293">
      <w:pPr>
        <w:pStyle w:val="ac"/>
        <w:ind w:firstLine="709"/>
        <w:jc w:val="both"/>
      </w:pPr>
      <w:r>
        <w:rPr>
          <w:b/>
          <w:bCs/>
        </w:rPr>
        <w:t>ОКРУГЛ(...; 1)</w:t>
      </w:r>
      <w:r>
        <w:t xml:space="preserve"> — математическое округление до одного знака после запятой.</w:t>
      </w:r>
    </w:p>
    <w:p w14:paraId="6CA8B1C5" w14:textId="77777777" w:rsidR="00765293" w:rsidRDefault="00765293" w:rsidP="00765293">
      <w:pPr>
        <w:pStyle w:val="ac"/>
        <w:ind w:firstLine="709"/>
        <w:jc w:val="both"/>
      </w:pPr>
      <w:r>
        <w:rPr>
          <w:b/>
          <w:bCs/>
        </w:rPr>
        <w:t xml:space="preserve">4.2. </w:t>
      </w:r>
      <w:r>
        <w:t xml:space="preserve">Допустимый диапазон значений </w:t>
      </w:r>
      <w:proofErr w:type="spellStart"/>
      <w:r>
        <w:t>Кн</w:t>
      </w:r>
      <w:proofErr w:type="spellEnd"/>
      <w:r>
        <w:t>: от 1,0 до 2,0.</w:t>
      </w:r>
    </w:p>
    <w:p w14:paraId="1EB8C955" w14:textId="77777777" w:rsidR="00765293" w:rsidRDefault="00765293" w:rsidP="00765293">
      <w:pPr>
        <w:pStyle w:val="ac"/>
        <w:ind w:firstLine="709"/>
        <w:jc w:val="both"/>
      </w:pPr>
      <w:r>
        <w:rPr>
          <w:b/>
          <w:bCs/>
        </w:rPr>
        <w:t xml:space="preserve">4.3. Обоснование выбора логарифмической функции. </w:t>
      </w:r>
      <w:r>
        <w:t>Применение прямой линейной пропорции для целей расчёта финансовой нагрузки является концептуально ошибочным: стократное увеличение численности населения (с 10 000 до 1 000 000 человек) не влечёт стократного увеличения издержек Ассоциации на взаимодействие с данным субъектом и не означает стократного роста ценности предоставляемых Ассоциацией услуг. Удельные транзакционные, коммуникационные и управленческие издержки на душу населения убывают по мере роста масштаба муниципального образования (эффект масштаба). Логарифмическая функция с нормирующим множителем 0,3 обеспечивает справедливую дегрессию: крупные муниципалитеты уплачивают больше в абсолютном выражении, однако их взнос в расчёте на одного жителя существенно ниже, чем у малых поселений.</w:t>
      </w:r>
    </w:p>
    <w:p w14:paraId="3210719C" w14:textId="77777777" w:rsidR="00765293" w:rsidRDefault="00765293" w:rsidP="00765293">
      <w:pPr>
        <w:pStyle w:val="ac"/>
        <w:ind w:firstLine="709"/>
        <w:jc w:val="both"/>
      </w:pPr>
      <w:r>
        <w:rPr>
          <w:b/>
          <w:bCs/>
        </w:rPr>
        <w:t xml:space="preserve">4.4. </w:t>
      </w:r>
      <w:r>
        <w:t xml:space="preserve">Округление результата до одного знака после запятой формирует пороги нечувствительности: для изменения значения </w:t>
      </w:r>
      <w:proofErr w:type="spellStart"/>
      <w:r>
        <w:t>Кн</w:t>
      </w:r>
      <w:proofErr w:type="spellEnd"/>
      <w:r>
        <w:t xml:space="preserve"> на 0,1 необходим демографический сдвиг порядка 8–10%, что обеспечивает стабильность коэффициента в рамках бюджетного цикла.</w:t>
      </w:r>
    </w:p>
    <w:p w14:paraId="3BE33C33" w14:textId="77777777" w:rsidR="00765293" w:rsidRDefault="00765293" w:rsidP="00765293">
      <w:pPr>
        <w:spacing w:before="160" w:after="80" w:line="360" w:lineRule="auto"/>
        <w:jc w:val="center"/>
      </w:pPr>
      <w:r>
        <w:rPr>
          <w:b/>
          <w:bCs/>
          <w:sz w:val="24"/>
          <w:szCs w:val="24"/>
        </w:rPr>
        <w:t xml:space="preserve">Шкала значений коэффициента </w:t>
      </w:r>
      <w:proofErr w:type="spellStart"/>
      <w:r>
        <w:rPr>
          <w:b/>
          <w:bCs/>
          <w:sz w:val="24"/>
          <w:szCs w:val="24"/>
        </w:rPr>
        <w:t>Кн</w:t>
      </w:r>
      <w:proofErr w:type="spellEnd"/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1600"/>
        <w:gridCol w:w="2400"/>
        <w:gridCol w:w="3255"/>
      </w:tblGrid>
      <w:tr w:rsidR="00765293" w:rsidRPr="00776632" w14:paraId="6101E668" w14:textId="77777777" w:rsidTr="008B3A78">
        <w:trPr>
          <w:trHeight w:val="170"/>
          <w:jc w:val="center"/>
        </w:trPr>
        <w:tc>
          <w:tcPr>
            <w:tcW w:w="21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0B2A5B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78931CB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Население, чел.</w:t>
            </w: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0B2A5B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547F43E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proofErr w:type="spellStart"/>
            <w:r w:rsidRPr="00776632">
              <w:rPr>
                <w:sz w:val="22"/>
                <w:szCs w:val="22"/>
              </w:rPr>
              <w:t>lg</w:t>
            </w:r>
            <w:proofErr w:type="spellEnd"/>
            <w:r w:rsidRPr="00776632">
              <w:rPr>
                <w:sz w:val="22"/>
                <w:szCs w:val="22"/>
              </w:rPr>
              <w:t>(N)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0B2A5B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471AA8B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 xml:space="preserve">0,3 × </w:t>
            </w:r>
            <w:proofErr w:type="spellStart"/>
            <w:r w:rsidRPr="00776632">
              <w:rPr>
                <w:sz w:val="22"/>
                <w:szCs w:val="22"/>
              </w:rPr>
              <w:t>lg</w:t>
            </w:r>
            <w:proofErr w:type="spellEnd"/>
            <w:r w:rsidRPr="00776632">
              <w:rPr>
                <w:sz w:val="22"/>
                <w:szCs w:val="22"/>
              </w:rPr>
              <w:t>(N)</w:t>
            </w:r>
          </w:p>
        </w:tc>
        <w:tc>
          <w:tcPr>
            <w:tcW w:w="32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0B2A5B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7A85CEF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proofErr w:type="spellStart"/>
            <w:r w:rsidRPr="00776632">
              <w:rPr>
                <w:sz w:val="22"/>
                <w:szCs w:val="22"/>
              </w:rPr>
              <w:t>Кн</w:t>
            </w:r>
            <w:proofErr w:type="spellEnd"/>
            <w:r w:rsidRPr="00776632">
              <w:rPr>
                <w:sz w:val="22"/>
                <w:szCs w:val="22"/>
              </w:rPr>
              <w:t xml:space="preserve"> (с округлением)</w:t>
            </w:r>
          </w:p>
        </w:tc>
      </w:tr>
      <w:tr w:rsidR="00765293" w:rsidRPr="00776632" w14:paraId="253B78A4" w14:textId="77777777" w:rsidTr="008B3A78">
        <w:trPr>
          <w:trHeight w:val="170"/>
          <w:jc w:val="center"/>
        </w:trPr>
        <w:tc>
          <w:tcPr>
            <w:tcW w:w="21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0F11CB8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10 000</w:t>
            </w: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CE778C3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4,00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710BA57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1,20</w:t>
            </w:r>
          </w:p>
        </w:tc>
        <w:tc>
          <w:tcPr>
            <w:tcW w:w="32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7C96BDB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1,2</w:t>
            </w:r>
          </w:p>
        </w:tc>
      </w:tr>
      <w:tr w:rsidR="00765293" w:rsidRPr="00776632" w14:paraId="7FC60C9B" w14:textId="77777777" w:rsidTr="008B3A78">
        <w:trPr>
          <w:trHeight w:val="170"/>
          <w:jc w:val="center"/>
        </w:trPr>
        <w:tc>
          <w:tcPr>
            <w:tcW w:w="21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58FFB60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30 000</w:t>
            </w: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FAB7CE0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4,48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0E25F89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1,34</w:t>
            </w:r>
          </w:p>
        </w:tc>
        <w:tc>
          <w:tcPr>
            <w:tcW w:w="32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777F384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1,3</w:t>
            </w:r>
          </w:p>
        </w:tc>
      </w:tr>
      <w:tr w:rsidR="00765293" w:rsidRPr="00776632" w14:paraId="60BAE441" w14:textId="77777777" w:rsidTr="008B3A78">
        <w:trPr>
          <w:trHeight w:val="170"/>
          <w:jc w:val="center"/>
        </w:trPr>
        <w:tc>
          <w:tcPr>
            <w:tcW w:w="21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BDE8799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50 000</w:t>
            </w: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304EAFF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4,70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EB8208F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1,41</w:t>
            </w:r>
          </w:p>
        </w:tc>
        <w:tc>
          <w:tcPr>
            <w:tcW w:w="32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8C60BAD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1,4</w:t>
            </w:r>
          </w:p>
        </w:tc>
      </w:tr>
      <w:tr w:rsidR="00765293" w:rsidRPr="00776632" w14:paraId="673A85EB" w14:textId="77777777" w:rsidTr="008B3A78">
        <w:trPr>
          <w:trHeight w:val="170"/>
          <w:jc w:val="center"/>
        </w:trPr>
        <w:tc>
          <w:tcPr>
            <w:tcW w:w="21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CD38DEA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100 000</w:t>
            </w: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AF85752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5,00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43AD4D0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1,50</w:t>
            </w:r>
          </w:p>
        </w:tc>
        <w:tc>
          <w:tcPr>
            <w:tcW w:w="32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002D1E1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1,5</w:t>
            </w:r>
          </w:p>
        </w:tc>
      </w:tr>
      <w:tr w:rsidR="00765293" w:rsidRPr="00776632" w14:paraId="373570DA" w14:textId="77777777" w:rsidTr="008B3A78">
        <w:trPr>
          <w:trHeight w:val="170"/>
          <w:jc w:val="center"/>
        </w:trPr>
        <w:tc>
          <w:tcPr>
            <w:tcW w:w="21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B3078C3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250 000</w:t>
            </w: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D95BC5D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5,40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468085D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1,62</w:t>
            </w:r>
          </w:p>
        </w:tc>
        <w:tc>
          <w:tcPr>
            <w:tcW w:w="32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615A3AF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1,6</w:t>
            </w:r>
          </w:p>
        </w:tc>
      </w:tr>
      <w:tr w:rsidR="00765293" w:rsidRPr="00776632" w14:paraId="2F4FC425" w14:textId="77777777" w:rsidTr="008B3A78">
        <w:trPr>
          <w:trHeight w:val="170"/>
          <w:jc w:val="center"/>
        </w:trPr>
        <w:tc>
          <w:tcPr>
            <w:tcW w:w="21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83733D7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500 000</w:t>
            </w: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8CC6E03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5,70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5A537B0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1,71</w:t>
            </w:r>
          </w:p>
        </w:tc>
        <w:tc>
          <w:tcPr>
            <w:tcW w:w="32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E564988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1,7</w:t>
            </w:r>
          </w:p>
        </w:tc>
      </w:tr>
      <w:tr w:rsidR="00765293" w:rsidRPr="00776632" w14:paraId="19F6CA77" w14:textId="77777777" w:rsidTr="008B3A78">
        <w:trPr>
          <w:trHeight w:val="170"/>
          <w:jc w:val="center"/>
        </w:trPr>
        <w:tc>
          <w:tcPr>
            <w:tcW w:w="21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2247BD6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1 000 000</w:t>
            </w: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CAF83A7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6,00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45A7F60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1,80</w:t>
            </w:r>
          </w:p>
        </w:tc>
        <w:tc>
          <w:tcPr>
            <w:tcW w:w="32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ED55A52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1,8</w:t>
            </w:r>
          </w:p>
        </w:tc>
      </w:tr>
      <w:tr w:rsidR="00765293" w:rsidRPr="00776632" w14:paraId="1CAB0600" w14:textId="77777777" w:rsidTr="008B3A78">
        <w:trPr>
          <w:trHeight w:val="170"/>
          <w:jc w:val="center"/>
        </w:trPr>
        <w:tc>
          <w:tcPr>
            <w:tcW w:w="21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BC2066E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2 000 000</w:t>
            </w:r>
          </w:p>
        </w:tc>
        <w:tc>
          <w:tcPr>
            <w:tcW w:w="1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D7D8393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6,30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32D8188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1,89</w:t>
            </w:r>
          </w:p>
        </w:tc>
        <w:tc>
          <w:tcPr>
            <w:tcW w:w="3255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3CF2428" w14:textId="77777777" w:rsidR="00765293" w:rsidRPr="00776632" w:rsidRDefault="00765293" w:rsidP="008B3A78">
            <w:pPr>
              <w:pStyle w:val="ac"/>
              <w:jc w:val="center"/>
              <w:rPr>
                <w:sz w:val="22"/>
                <w:szCs w:val="22"/>
              </w:rPr>
            </w:pPr>
            <w:r w:rsidRPr="00776632">
              <w:rPr>
                <w:sz w:val="22"/>
                <w:szCs w:val="22"/>
              </w:rPr>
              <w:t>1,9</w:t>
            </w:r>
          </w:p>
        </w:tc>
      </w:tr>
    </w:tbl>
    <w:p w14:paraId="6811DDF4" w14:textId="77777777" w:rsidR="00765293" w:rsidRDefault="00765293" w:rsidP="00765293">
      <w:pPr>
        <w:pStyle w:val="10"/>
        <w:pageBreakBefore/>
        <w:spacing w:line="360" w:lineRule="auto"/>
      </w:pPr>
      <w:r>
        <w:lastRenderedPageBreak/>
        <w:t>5. Коэффициент экономической обеспеченности (</w:t>
      </w:r>
      <w:proofErr w:type="spellStart"/>
      <w:r>
        <w:t>Кэ</w:t>
      </w:r>
      <w:proofErr w:type="spellEnd"/>
      <w:r>
        <w:t>)</w:t>
      </w:r>
    </w:p>
    <w:p w14:paraId="107CBD13" w14:textId="77777777" w:rsidR="00765293" w:rsidRDefault="00765293" w:rsidP="00765293">
      <w:pPr>
        <w:pStyle w:val="ac"/>
        <w:ind w:firstLine="709"/>
        <w:jc w:val="both"/>
      </w:pPr>
      <w:r>
        <w:rPr>
          <w:b/>
          <w:bCs/>
        </w:rPr>
        <w:t xml:space="preserve">5.1. </w:t>
      </w:r>
      <w:r>
        <w:t xml:space="preserve">Коэффициент экономической обеспеченности (далее — </w:t>
      </w:r>
      <w:proofErr w:type="spellStart"/>
      <w:r>
        <w:t>Кэ</w:t>
      </w:r>
      <w:proofErr w:type="spellEnd"/>
      <w:r>
        <w:t>) отражает реальную платёжеспособность муниципального образования и определяется в два этапа.</w:t>
      </w:r>
    </w:p>
    <w:p w14:paraId="1C6E36CE" w14:textId="77777777" w:rsidR="00765293" w:rsidRDefault="00765293" w:rsidP="00765293">
      <w:pPr>
        <w:pStyle w:val="ac"/>
        <w:ind w:firstLine="709"/>
        <w:jc w:val="both"/>
      </w:pPr>
      <w:r>
        <w:rPr>
          <w:b/>
          <w:bCs/>
        </w:rPr>
        <w:t xml:space="preserve">5.1.1. Этап 1. </w:t>
      </w:r>
      <w:r>
        <w:t>Определение подушевой бюджетной обеспеченности (БО), по следующей формуле:</w:t>
      </w:r>
    </w:p>
    <w:p w14:paraId="4B393974" w14:textId="77777777" w:rsidR="00765293" w:rsidRPr="00776632" w:rsidRDefault="00765293" w:rsidP="00765293">
      <w:pPr>
        <w:pStyle w:val="ac"/>
        <w:spacing w:before="240" w:after="240"/>
        <w:ind w:firstLine="709"/>
        <w:jc w:val="center"/>
        <w:rPr>
          <w:b/>
          <w:sz w:val="32"/>
          <w:szCs w:val="32"/>
        </w:rPr>
      </w:pPr>
      <w:r w:rsidRPr="00776632">
        <w:rPr>
          <w:b/>
          <w:sz w:val="32"/>
          <w:szCs w:val="32"/>
        </w:rPr>
        <w:t>БО = (НД + ННД) × 1 000 / N</w:t>
      </w:r>
    </w:p>
    <w:p w14:paraId="6D5DEEF4" w14:textId="77777777" w:rsidR="00765293" w:rsidRDefault="00765293" w:rsidP="00765293">
      <w:pPr>
        <w:pStyle w:val="ac"/>
        <w:ind w:firstLine="709"/>
        <w:jc w:val="both"/>
      </w:pPr>
      <w:r>
        <w:rPr>
          <w:i/>
          <w:iCs/>
        </w:rPr>
        <w:t xml:space="preserve">где </w:t>
      </w:r>
      <w:r>
        <w:rPr>
          <w:b/>
          <w:bCs/>
        </w:rPr>
        <w:t>НД</w:t>
      </w:r>
      <w:r>
        <w:t xml:space="preserve"> — налоговые доходы местного бюджета (тыс. руб.); </w:t>
      </w:r>
    </w:p>
    <w:p w14:paraId="47A50259" w14:textId="77777777" w:rsidR="00765293" w:rsidRDefault="00765293" w:rsidP="00765293">
      <w:pPr>
        <w:pStyle w:val="ac"/>
        <w:ind w:firstLine="709"/>
        <w:jc w:val="both"/>
      </w:pPr>
      <w:r>
        <w:rPr>
          <w:b/>
          <w:bCs/>
        </w:rPr>
        <w:t>ННД</w:t>
      </w:r>
      <w:r>
        <w:t xml:space="preserve"> — неналоговые доходы местного бюджета (тыс. руб.); </w:t>
      </w:r>
    </w:p>
    <w:p w14:paraId="2057E5FA" w14:textId="77777777" w:rsidR="00765293" w:rsidRDefault="00765293" w:rsidP="00765293">
      <w:pPr>
        <w:pStyle w:val="ac"/>
        <w:ind w:firstLine="709"/>
        <w:jc w:val="both"/>
      </w:pPr>
      <w:r>
        <w:rPr>
          <w:b/>
          <w:bCs/>
        </w:rPr>
        <w:t>N</w:t>
      </w:r>
      <w:r>
        <w:t xml:space="preserve"> — численность постоянного населения (чел.).</w:t>
      </w:r>
    </w:p>
    <w:p w14:paraId="671E72E5" w14:textId="77777777" w:rsidR="00765293" w:rsidRDefault="00765293" w:rsidP="00765293">
      <w:pPr>
        <w:pStyle w:val="ac"/>
        <w:ind w:firstLine="709"/>
        <w:jc w:val="both"/>
      </w:pPr>
      <w:r>
        <w:rPr>
          <w:b/>
          <w:bCs/>
        </w:rPr>
        <w:t xml:space="preserve">5.1.1.1. </w:t>
      </w:r>
      <w:r>
        <w:t>При определении величин НД и ННД из доходной части местного бюджета категорически исключаются все безвозмездные поступления: дотации на выравнивание бюджетной обеспеченности (статья 137 БК РФ), субсидии из бюджетов вышестоящих уровней (статья 139 БК РФ) и субвенции на выполнение переданных государственных полномочий (статья 140 БК РФ). Данное решение обусловлено тем, что межбюджетные трансферты стабильно составляют от 56% до 68% совокупных доходов местных бюджетов (по данным мониторинга Министерства финансов Российской Федерации); их учёт приводил бы к фиктивной «сверхдоходности» ряда территорий, на которых реализуются масштабные федеральные программы. Учёт только собственных доходов позволяет объективно оценить эндогенный экономический потенциал территории.</w:t>
      </w:r>
    </w:p>
    <w:p w14:paraId="162ABB8C" w14:textId="77777777" w:rsidR="00765293" w:rsidRDefault="00765293" w:rsidP="00765293">
      <w:pPr>
        <w:pStyle w:val="ac"/>
        <w:ind w:firstLine="709"/>
        <w:jc w:val="both"/>
      </w:pPr>
      <w:r>
        <w:rPr>
          <w:b/>
          <w:bCs/>
        </w:rPr>
        <w:t xml:space="preserve">5.1.2. Этап 2. </w:t>
      </w:r>
      <w:r>
        <w:t>Определение коэффициента (</w:t>
      </w:r>
      <w:proofErr w:type="spellStart"/>
      <w:r>
        <w:t>Кэ</w:t>
      </w:r>
      <w:proofErr w:type="spellEnd"/>
      <w:r>
        <w:t xml:space="preserve">), по следующей формуле: </w:t>
      </w:r>
    </w:p>
    <w:p w14:paraId="0069A31C" w14:textId="77777777" w:rsidR="00765293" w:rsidRPr="00776632" w:rsidRDefault="00765293" w:rsidP="00765293">
      <w:pPr>
        <w:pStyle w:val="ac"/>
        <w:ind w:firstLine="709"/>
        <w:jc w:val="center"/>
        <w:rPr>
          <w:b/>
          <w:sz w:val="32"/>
        </w:rPr>
      </w:pPr>
      <w:proofErr w:type="spellStart"/>
      <w:r w:rsidRPr="00776632">
        <w:rPr>
          <w:b/>
          <w:sz w:val="32"/>
        </w:rPr>
        <w:t>Кэ</w:t>
      </w:r>
      <w:proofErr w:type="spellEnd"/>
      <w:r w:rsidRPr="00776632">
        <w:rPr>
          <w:b/>
          <w:sz w:val="32"/>
        </w:rPr>
        <w:t xml:space="preserve"> = ОКРУГЛ(MIN(MAX(БО / </w:t>
      </w:r>
      <w:proofErr w:type="spellStart"/>
      <w:r w:rsidRPr="00776632">
        <w:rPr>
          <w:b/>
          <w:sz w:val="32"/>
        </w:rPr>
        <w:t>БОср</w:t>
      </w:r>
      <w:proofErr w:type="spellEnd"/>
      <w:r w:rsidRPr="00776632">
        <w:rPr>
          <w:b/>
          <w:sz w:val="32"/>
        </w:rPr>
        <w:t>; 0,5); 2,0); 1)</w:t>
      </w:r>
    </w:p>
    <w:p w14:paraId="6FA313F4" w14:textId="77777777" w:rsidR="00765293" w:rsidRPr="00C64515" w:rsidRDefault="00765293" w:rsidP="00765293">
      <w:pPr>
        <w:spacing w:before="30" w:after="30"/>
        <w:jc w:val="center"/>
        <w:rPr>
          <w:sz w:val="16"/>
          <w:szCs w:val="16"/>
        </w:rPr>
      </w:pPr>
    </w:p>
    <w:p w14:paraId="5E416CFA" w14:textId="77777777" w:rsidR="00765293" w:rsidRPr="00C64515" w:rsidRDefault="00765293" w:rsidP="00765293">
      <w:pPr>
        <w:pStyle w:val="ac"/>
        <w:ind w:firstLine="709"/>
        <w:jc w:val="both"/>
        <w:rPr>
          <w:color w:val="00B050"/>
        </w:rPr>
      </w:pPr>
      <w:r w:rsidRPr="00C64515">
        <w:rPr>
          <w:i/>
          <w:iCs/>
          <w:color w:val="00B050"/>
        </w:rPr>
        <w:t xml:space="preserve">где </w:t>
      </w:r>
      <w:proofErr w:type="spellStart"/>
      <w:r w:rsidRPr="00C64515">
        <w:rPr>
          <w:b/>
          <w:bCs/>
          <w:color w:val="00B050"/>
        </w:rPr>
        <w:t>БОср</w:t>
      </w:r>
      <w:proofErr w:type="spellEnd"/>
      <w:r w:rsidRPr="00C64515">
        <w:rPr>
          <w:b/>
          <w:bCs/>
          <w:color w:val="00B050"/>
        </w:rPr>
        <w:t xml:space="preserve"> = </w:t>
      </w:r>
      <w:proofErr w:type="spellStart"/>
      <w:r w:rsidRPr="00C64515">
        <w:rPr>
          <w:b/>
          <w:bCs/>
          <w:color w:val="00B050"/>
        </w:rPr>
        <w:t>Вмин</w:t>
      </w:r>
      <w:proofErr w:type="spellEnd"/>
      <w:r w:rsidRPr="00C64515">
        <w:rPr>
          <w:b/>
          <w:bCs/>
          <w:color w:val="00B050"/>
        </w:rPr>
        <w:t xml:space="preserve"> /чел.</w:t>
      </w:r>
      <w:r w:rsidRPr="00C64515">
        <w:rPr>
          <w:color w:val="00B050"/>
        </w:rPr>
        <w:t xml:space="preserve"> — базовое (медианное) значение бюджетной обеспеченности.</w:t>
      </w:r>
    </w:p>
    <w:p w14:paraId="0EFEAC48" w14:textId="77777777" w:rsidR="00765293" w:rsidRDefault="00765293" w:rsidP="00765293">
      <w:pPr>
        <w:pStyle w:val="ac"/>
        <w:ind w:firstLine="709"/>
        <w:jc w:val="both"/>
      </w:pPr>
      <w:r>
        <w:rPr>
          <w:b/>
          <w:bCs/>
        </w:rPr>
        <w:t xml:space="preserve">5.2. </w:t>
      </w:r>
      <w:r>
        <w:t xml:space="preserve">Допустимый диапазон значений </w:t>
      </w:r>
      <w:proofErr w:type="spellStart"/>
      <w:r>
        <w:t>Кэ</w:t>
      </w:r>
      <w:proofErr w:type="spellEnd"/>
      <w:r>
        <w:t>: от 0,5 до 2,0. Нижняя граница 0,5 автоматически применяется к высокодотационным муниципальным образованиям, собственные доходы которых составляют менее половины медианного значения. Верхний ограничитель 2,0 защищает муниципалитеты от непропорциональной нагрузки.</w:t>
      </w:r>
    </w:p>
    <w:p w14:paraId="5B240A7D" w14:textId="77777777" w:rsidR="00765293" w:rsidRDefault="00765293" w:rsidP="00765293">
      <w:pPr>
        <w:pStyle w:val="ac"/>
        <w:ind w:firstLine="709"/>
        <w:jc w:val="both"/>
      </w:pPr>
      <w:r>
        <w:rPr>
          <w:b/>
          <w:bCs/>
        </w:rPr>
        <w:t xml:space="preserve">5.3. Источники данных: </w:t>
      </w:r>
      <w:r>
        <w:t>отчёт об исполнении местного бюджета за предшествующий финансовый год (данные Федерального казначейства); результаты мониторинга исполнения местных бюджетов и межбюджетных отношений, публикуемые Министерством финансов Российской Федерации.</w:t>
      </w:r>
    </w:p>
    <w:p w14:paraId="10B3506E" w14:textId="77777777" w:rsidR="00765293" w:rsidRPr="00C64515" w:rsidRDefault="00765293" w:rsidP="00765293">
      <w:pPr>
        <w:pStyle w:val="ac"/>
        <w:spacing w:before="240" w:after="240"/>
        <w:jc w:val="center"/>
        <w:rPr>
          <w:b/>
        </w:rPr>
      </w:pPr>
      <w:r w:rsidRPr="00C64515">
        <w:rPr>
          <w:b/>
        </w:rPr>
        <w:t>6. Коэффициент обеспеченности спортивной инфраструктурой (</w:t>
      </w:r>
      <w:proofErr w:type="spellStart"/>
      <w:r w:rsidRPr="00C64515">
        <w:rPr>
          <w:b/>
        </w:rPr>
        <w:t>Кинф</w:t>
      </w:r>
      <w:proofErr w:type="spellEnd"/>
      <w:r w:rsidRPr="00C64515">
        <w:rPr>
          <w:b/>
        </w:rPr>
        <w:t>)</w:t>
      </w:r>
    </w:p>
    <w:p w14:paraId="4A213878" w14:textId="77777777" w:rsidR="00765293" w:rsidRDefault="00765293" w:rsidP="00765293">
      <w:pPr>
        <w:pStyle w:val="ac"/>
        <w:ind w:firstLine="709"/>
        <w:jc w:val="both"/>
      </w:pPr>
      <w:r>
        <w:rPr>
          <w:b/>
          <w:bCs/>
        </w:rPr>
        <w:t xml:space="preserve">6.1. </w:t>
      </w:r>
      <w:r>
        <w:t xml:space="preserve">Коэффициент обеспеченности спортивной инфраструктурой (далее — </w:t>
      </w:r>
      <w:proofErr w:type="spellStart"/>
      <w:r>
        <w:t>Кинф</w:t>
      </w:r>
      <w:proofErr w:type="spellEnd"/>
      <w:r>
        <w:t xml:space="preserve">) является уникальным отраслевым параметром настоящей Методики, отражающим уровень развития физической культуры и спорта в </w:t>
      </w:r>
      <w:r>
        <w:lastRenderedPageBreak/>
        <w:t xml:space="preserve">муниципальном образовании. </w:t>
      </w:r>
      <w:proofErr w:type="spellStart"/>
      <w:r>
        <w:t>Кинф</w:t>
      </w:r>
      <w:proofErr w:type="spellEnd"/>
      <w:r>
        <w:t xml:space="preserve"> определяется на основании показателя обеспеченности населения спортивными сооружениями по их единовременной пропускной способности.</w:t>
      </w:r>
    </w:p>
    <w:p w14:paraId="77802962" w14:textId="77777777" w:rsidR="00765293" w:rsidRDefault="00765293" w:rsidP="00765293">
      <w:pPr>
        <w:pStyle w:val="ac"/>
        <w:ind w:firstLine="709"/>
        <w:jc w:val="both"/>
      </w:pPr>
      <w:r>
        <w:rPr>
          <w:b/>
          <w:bCs/>
        </w:rPr>
        <w:t xml:space="preserve">6.2. </w:t>
      </w:r>
      <w:r>
        <w:t xml:space="preserve">Показатель обеспеченности населения спортивными сооружениями (далее — </w:t>
      </w:r>
      <w:proofErr w:type="spellStart"/>
      <w:r>
        <w:t>Есо</w:t>
      </w:r>
      <w:proofErr w:type="spellEnd"/>
      <w:r>
        <w:t>) рассчитывается по формуле:</w:t>
      </w:r>
    </w:p>
    <w:p w14:paraId="0AC093FC" w14:textId="77777777" w:rsidR="00765293" w:rsidRPr="00200CB2" w:rsidRDefault="00765293" w:rsidP="00765293">
      <w:pPr>
        <w:pStyle w:val="ac"/>
        <w:ind w:firstLine="709"/>
        <w:jc w:val="center"/>
        <w:rPr>
          <w:sz w:val="32"/>
          <w:szCs w:val="32"/>
        </w:rPr>
      </w:pPr>
      <w:proofErr w:type="spellStart"/>
      <w:r w:rsidRPr="00200CB2">
        <w:rPr>
          <w:b/>
          <w:bCs/>
          <w:color w:val="0B2A5B"/>
          <w:sz w:val="32"/>
          <w:szCs w:val="32"/>
        </w:rPr>
        <w:t>Есо</w:t>
      </w:r>
      <w:proofErr w:type="spellEnd"/>
      <w:r w:rsidRPr="00200CB2">
        <w:rPr>
          <w:b/>
          <w:bCs/>
          <w:color w:val="0B2A5B"/>
          <w:sz w:val="32"/>
          <w:szCs w:val="32"/>
        </w:rPr>
        <w:t xml:space="preserve"> = </w:t>
      </w:r>
      <w:proofErr w:type="spellStart"/>
      <w:r w:rsidRPr="00200CB2">
        <w:rPr>
          <w:b/>
          <w:bCs/>
          <w:color w:val="0B2A5B"/>
          <w:sz w:val="32"/>
          <w:szCs w:val="32"/>
        </w:rPr>
        <w:t>ЕПСфакт</w:t>
      </w:r>
      <w:proofErr w:type="spellEnd"/>
      <w:r w:rsidRPr="00200CB2">
        <w:rPr>
          <w:b/>
          <w:bCs/>
          <w:color w:val="0B2A5B"/>
          <w:sz w:val="32"/>
          <w:szCs w:val="32"/>
        </w:rPr>
        <w:t xml:space="preserve"> / N</w:t>
      </w:r>
    </w:p>
    <w:p w14:paraId="18F9D5EF" w14:textId="77777777" w:rsidR="00765293" w:rsidRPr="00200CB2" w:rsidRDefault="00765293" w:rsidP="00765293">
      <w:pPr>
        <w:spacing w:before="30" w:after="30"/>
        <w:rPr>
          <w:sz w:val="16"/>
          <w:szCs w:val="16"/>
        </w:rPr>
      </w:pPr>
    </w:p>
    <w:p w14:paraId="4390EBD2" w14:textId="77777777" w:rsidR="00765293" w:rsidRDefault="00765293" w:rsidP="00765293">
      <w:pPr>
        <w:pStyle w:val="ac"/>
        <w:ind w:firstLine="709"/>
        <w:jc w:val="both"/>
      </w:pPr>
      <w:r>
        <w:rPr>
          <w:i/>
          <w:iCs/>
        </w:rPr>
        <w:t xml:space="preserve">где </w:t>
      </w:r>
      <w:proofErr w:type="spellStart"/>
      <w:r>
        <w:rPr>
          <w:b/>
          <w:bCs/>
        </w:rPr>
        <w:t>ЕПСфакт</w:t>
      </w:r>
      <w:proofErr w:type="spellEnd"/>
      <w:r>
        <w:t xml:space="preserve"> — фактическая единовременная пропускная способность объектов физической культуры и спорта, расположенных на территории муниципального образования (чел.); </w:t>
      </w:r>
    </w:p>
    <w:p w14:paraId="29B3A165" w14:textId="77777777" w:rsidR="00765293" w:rsidRDefault="00765293" w:rsidP="00765293">
      <w:pPr>
        <w:pStyle w:val="ac"/>
        <w:ind w:firstLine="709"/>
        <w:jc w:val="both"/>
      </w:pPr>
      <w:r>
        <w:rPr>
          <w:b/>
          <w:bCs/>
        </w:rPr>
        <w:t>N</w:t>
      </w:r>
      <w:r>
        <w:t xml:space="preserve"> — численность постоянного населения муниципального образования (чел.).</w:t>
      </w:r>
    </w:p>
    <w:p w14:paraId="6B436BD1" w14:textId="77777777" w:rsidR="00765293" w:rsidRDefault="00765293" w:rsidP="00765293">
      <w:pPr>
        <w:pStyle w:val="ac"/>
        <w:ind w:firstLine="709"/>
        <w:jc w:val="both"/>
      </w:pPr>
      <w:r>
        <w:rPr>
          <w:b/>
          <w:bCs/>
        </w:rPr>
        <w:t xml:space="preserve">6.3. </w:t>
      </w:r>
      <w:r>
        <w:rPr>
          <w:i/>
          <w:iCs/>
        </w:rPr>
        <w:t xml:space="preserve">Обоснование выбора показателя </w:t>
      </w:r>
      <w:proofErr w:type="spellStart"/>
      <w:r>
        <w:rPr>
          <w:i/>
          <w:iCs/>
        </w:rPr>
        <w:t>Есо</w:t>
      </w:r>
      <w:proofErr w:type="spellEnd"/>
      <w:r>
        <w:rPr>
          <w:i/>
          <w:iCs/>
        </w:rPr>
        <w:t xml:space="preserve">. </w:t>
      </w:r>
      <w:r>
        <w:t>Действующая система нормирования обеспеченности населения спортивными сооружениями (Приказ Минспорта России от 21.03.2018 № 244) устанавливает усреднённый норматив ЕПС на уровне 122 человек на 1 000 населения в возрасте 3–79 лет. Данный норматив предназначен для оценки потребности субъектов Российской Федерации в объектах спортивной инфраструктуры в рамках государственной программы «Развитие физической культуры и спорта», утвержденной Постановлением Правительства РФ от 30.09.2021 № 1661 и рассчитан на определённую возрастную когорту. Прямое применение данного норматива для целей расчёта членского взноса создаёт методологические трудности: необходимость использования возрастной структуры населения 3–79 лет по каждому муниципальному образованию, которая не всегда доступна на муниципальном уровне и подвержена значительной погрешности в межпереписной период.</w:t>
      </w:r>
    </w:p>
    <w:p w14:paraId="148C1FBF" w14:textId="77777777" w:rsidR="00765293" w:rsidRDefault="00765293" w:rsidP="00765293">
      <w:pPr>
        <w:pStyle w:val="ac"/>
        <w:ind w:firstLine="709"/>
        <w:jc w:val="both"/>
      </w:pPr>
      <w:r>
        <w:t xml:space="preserve">В связи с этим Методика использует собственный показатель </w:t>
      </w:r>
      <w:proofErr w:type="spellStart"/>
      <w:r>
        <w:t>Есо</w:t>
      </w:r>
      <w:proofErr w:type="spellEnd"/>
      <w:r>
        <w:t xml:space="preserve"> — простое и прозрачное отношение фактической ЕПС к общей численности постоянного населения муниципального образования. Данный показатель не требует расчёта возрастной структуры, легко верифицируется из открытых источников и обеспечивает объективную дифференциацию муниципальных образований по уровню развития спортивной инфраструктуры.</w:t>
      </w:r>
    </w:p>
    <w:p w14:paraId="5EAAAEBD" w14:textId="77777777" w:rsidR="00765293" w:rsidRDefault="00765293" w:rsidP="00765293">
      <w:pPr>
        <w:pStyle w:val="ac"/>
        <w:ind w:firstLine="709"/>
        <w:jc w:val="both"/>
      </w:pPr>
      <w:r>
        <w:rPr>
          <w:b/>
          <w:bCs/>
        </w:rPr>
        <w:t xml:space="preserve">6.4. </w:t>
      </w:r>
      <w:r>
        <w:t xml:space="preserve">Значение коэффициента </w:t>
      </w:r>
      <w:proofErr w:type="spellStart"/>
      <w:r>
        <w:t>Кинф</w:t>
      </w:r>
      <w:proofErr w:type="spellEnd"/>
      <w:r>
        <w:t xml:space="preserve"> определяется по внутренней шкале Ассоциации на основании рассчитанного показателя </w:t>
      </w:r>
      <w:proofErr w:type="spellStart"/>
      <w:r>
        <w:t>Есо</w:t>
      </w:r>
      <w:proofErr w:type="spellEnd"/>
      <w:r>
        <w:t>:</w:t>
      </w:r>
    </w:p>
    <w:p w14:paraId="54FE6605" w14:textId="77777777" w:rsidR="00765293" w:rsidRDefault="00765293" w:rsidP="00765293">
      <w:pPr>
        <w:spacing w:before="160" w:after="80" w:line="360" w:lineRule="auto"/>
        <w:jc w:val="center"/>
      </w:pPr>
      <w:r>
        <w:rPr>
          <w:b/>
          <w:bCs/>
          <w:sz w:val="24"/>
          <w:szCs w:val="24"/>
        </w:rPr>
        <w:t xml:space="preserve">Шкала определения коэффициента </w:t>
      </w:r>
      <w:proofErr w:type="spellStart"/>
      <w:r>
        <w:rPr>
          <w:b/>
          <w:bCs/>
          <w:sz w:val="24"/>
          <w:szCs w:val="24"/>
        </w:rPr>
        <w:t>Кинф</w:t>
      </w:r>
      <w:proofErr w:type="spellEnd"/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65293" w14:paraId="069BE1A2" w14:textId="77777777" w:rsidTr="008B3A78">
        <w:tc>
          <w:tcPr>
            <w:tcW w:w="467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0B2A5B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E9CB418" w14:textId="77777777" w:rsidR="00765293" w:rsidRDefault="00765293" w:rsidP="008B3A78">
            <w:pPr>
              <w:spacing w:before="30" w:after="30" w:line="276" w:lineRule="auto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Значение </w:t>
            </w: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Есо</w:t>
            </w:r>
            <w:proofErr w:type="spellEnd"/>
          </w:p>
        </w:tc>
        <w:tc>
          <w:tcPr>
            <w:tcW w:w="467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0B2A5B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CB5D43D" w14:textId="77777777" w:rsidR="00765293" w:rsidRDefault="00765293" w:rsidP="008B3A78">
            <w:pPr>
              <w:spacing w:before="30" w:after="30" w:line="276" w:lineRule="auto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Значение </w:t>
            </w: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Кинф</w:t>
            </w:r>
            <w:proofErr w:type="spellEnd"/>
          </w:p>
        </w:tc>
      </w:tr>
      <w:tr w:rsidR="00765293" w14:paraId="6E01EE01" w14:textId="77777777" w:rsidTr="008B3A78">
        <w:tc>
          <w:tcPr>
            <w:tcW w:w="467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52BC38B" w14:textId="77777777" w:rsidR="00765293" w:rsidRDefault="00765293" w:rsidP="008B3A78">
            <w:pPr>
              <w:spacing w:before="30" w:after="30" w:line="276" w:lineRule="auto"/>
            </w:pPr>
            <w:r>
              <w:rPr>
                <w:sz w:val="22"/>
                <w:szCs w:val="22"/>
              </w:rPr>
              <w:t>менее 0,006</w:t>
            </w:r>
          </w:p>
        </w:tc>
        <w:tc>
          <w:tcPr>
            <w:tcW w:w="467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AF96E1C" w14:textId="77777777" w:rsidR="00765293" w:rsidRDefault="00765293" w:rsidP="008B3A78">
            <w:pPr>
              <w:spacing w:before="30" w:after="30" w:line="276" w:lineRule="auto"/>
              <w:jc w:val="center"/>
            </w:pPr>
            <w:r>
              <w:rPr>
                <w:b/>
                <w:bCs/>
                <w:color w:val="0B2A5B"/>
                <w:sz w:val="22"/>
                <w:szCs w:val="22"/>
              </w:rPr>
              <w:t>0,6</w:t>
            </w:r>
          </w:p>
        </w:tc>
      </w:tr>
      <w:tr w:rsidR="00765293" w14:paraId="69ADD763" w14:textId="77777777" w:rsidTr="008B3A78">
        <w:tc>
          <w:tcPr>
            <w:tcW w:w="467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B14814A" w14:textId="77777777" w:rsidR="00765293" w:rsidRDefault="00765293" w:rsidP="008B3A78">
            <w:pPr>
              <w:spacing w:before="30" w:after="30" w:line="276" w:lineRule="auto"/>
            </w:pPr>
            <w:r>
              <w:rPr>
                <w:sz w:val="22"/>
                <w:szCs w:val="22"/>
              </w:rPr>
              <w:t>от 0,006 до менее 0,010</w:t>
            </w:r>
          </w:p>
        </w:tc>
        <w:tc>
          <w:tcPr>
            <w:tcW w:w="467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CB0E77F" w14:textId="77777777" w:rsidR="00765293" w:rsidRDefault="00765293" w:rsidP="008B3A78">
            <w:pPr>
              <w:spacing w:before="30" w:after="30" w:line="276" w:lineRule="auto"/>
              <w:jc w:val="center"/>
            </w:pPr>
            <w:r>
              <w:rPr>
                <w:b/>
                <w:bCs/>
                <w:color w:val="0B2A5B"/>
                <w:sz w:val="22"/>
                <w:szCs w:val="22"/>
              </w:rPr>
              <w:t>0,8</w:t>
            </w:r>
          </w:p>
        </w:tc>
      </w:tr>
      <w:tr w:rsidR="00765293" w14:paraId="233318AB" w14:textId="77777777" w:rsidTr="008B3A78">
        <w:tc>
          <w:tcPr>
            <w:tcW w:w="467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D2CF284" w14:textId="77777777" w:rsidR="00765293" w:rsidRDefault="00765293" w:rsidP="008B3A78">
            <w:pPr>
              <w:spacing w:before="30" w:after="30" w:line="276" w:lineRule="auto"/>
            </w:pPr>
            <w:r>
              <w:rPr>
                <w:sz w:val="22"/>
                <w:szCs w:val="22"/>
              </w:rPr>
              <w:t>от 0,010 до менее 0,015</w:t>
            </w:r>
          </w:p>
        </w:tc>
        <w:tc>
          <w:tcPr>
            <w:tcW w:w="467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0608DF7" w14:textId="77777777" w:rsidR="00765293" w:rsidRDefault="00765293" w:rsidP="008B3A78">
            <w:pPr>
              <w:spacing w:before="30" w:after="30" w:line="276" w:lineRule="auto"/>
              <w:jc w:val="center"/>
            </w:pPr>
            <w:r>
              <w:rPr>
                <w:b/>
                <w:bCs/>
                <w:color w:val="0B2A5B"/>
                <w:sz w:val="22"/>
                <w:szCs w:val="22"/>
              </w:rPr>
              <w:t>1,0</w:t>
            </w:r>
          </w:p>
        </w:tc>
      </w:tr>
      <w:tr w:rsidR="00765293" w14:paraId="3E7D8234" w14:textId="77777777" w:rsidTr="008B3A78">
        <w:tc>
          <w:tcPr>
            <w:tcW w:w="467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A462D16" w14:textId="77777777" w:rsidR="00765293" w:rsidRDefault="00765293" w:rsidP="008B3A78">
            <w:pPr>
              <w:spacing w:before="30" w:after="30" w:line="276" w:lineRule="auto"/>
            </w:pPr>
            <w:r>
              <w:rPr>
                <w:sz w:val="22"/>
                <w:szCs w:val="22"/>
              </w:rPr>
              <w:t>от 0,015 до менее 0,022</w:t>
            </w:r>
          </w:p>
        </w:tc>
        <w:tc>
          <w:tcPr>
            <w:tcW w:w="467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13CA471" w14:textId="77777777" w:rsidR="00765293" w:rsidRDefault="00765293" w:rsidP="008B3A78">
            <w:pPr>
              <w:spacing w:before="30" w:after="30" w:line="276" w:lineRule="auto"/>
              <w:jc w:val="center"/>
            </w:pPr>
            <w:r>
              <w:rPr>
                <w:b/>
                <w:bCs/>
                <w:color w:val="0B2A5B"/>
                <w:sz w:val="22"/>
                <w:szCs w:val="22"/>
              </w:rPr>
              <w:t>1,2</w:t>
            </w:r>
          </w:p>
        </w:tc>
      </w:tr>
      <w:tr w:rsidR="00765293" w14:paraId="17D89AED" w14:textId="77777777" w:rsidTr="008B3A78">
        <w:tc>
          <w:tcPr>
            <w:tcW w:w="467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FF8E82B" w14:textId="77777777" w:rsidR="00765293" w:rsidRDefault="00765293" w:rsidP="008B3A78">
            <w:pPr>
              <w:spacing w:before="30" w:after="30" w:line="276" w:lineRule="auto"/>
            </w:pPr>
            <w:r>
              <w:rPr>
                <w:sz w:val="22"/>
                <w:szCs w:val="22"/>
              </w:rPr>
              <w:t>от 0,022 до менее 0,030</w:t>
            </w:r>
          </w:p>
        </w:tc>
        <w:tc>
          <w:tcPr>
            <w:tcW w:w="467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AEFAD50" w14:textId="77777777" w:rsidR="00765293" w:rsidRDefault="00765293" w:rsidP="008B3A78">
            <w:pPr>
              <w:spacing w:before="30" w:after="30" w:line="276" w:lineRule="auto"/>
              <w:jc w:val="center"/>
            </w:pPr>
            <w:r>
              <w:rPr>
                <w:b/>
                <w:bCs/>
                <w:color w:val="0B2A5B"/>
                <w:sz w:val="22"/>
                <w:szCs w:val="22"/>
              </w:rPr>
              <w:t>1,4</w:t>
            </w:r>
          </w:p>
        </w:tc>
      </w:tr>
      <w:tr w:rsidR="00765293" w14:paraId="4AC26A69" w14:textId="77777777" w:rsidTr="008B3A78">
        <w:tc>
          <w:tcPr>
            <w:tcW w:w="467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BBC26CC" w14:textId="77777777" w:rsidR="00765293" w:rsidRDefault="00765293" w:rsidP="008B3A78">
            <w:pPr>
              <w:spacing w:before="30" w:after="30" w:line="276" w:lineRule="auto"/>
            </w:pPr>
            <w:r>
              <w:rPr>
                <w:sz w:val="22"/>
                <w:szCs w:val="22"/>
              </w:rPr>
              <w:lastRenderedPageBreak/>
              <w:t>от 0,030 до менее 0,040</w:t>
            </w:r>
          </w:p>
        </w:tc>
        <w:tc>
          <w:tcPr>
            <w:tcW w:w="467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C2962DC" w14:textId="77777777" w:rsidR="00765293" w:rsidRDefault="00765293" w:rsidP="008B3A78">
            <w:pPr>
              <w:spacing w:before="30" w:after="30" w:line="276" w:lineRule="auto"/>
              <w:jc w:val="center"/>
            </w:pPr>
            <w:r>
              <w:rPr>
                <w:b/>
                <w:bCs/>
                <w:color w:val="0B2A5B"/>
                <w:sz w:val="22"/>
                <w:szCs w:val="22"/>
              </w:rPr>
              <w:t>1,6</w:t>
            </w:r>
          </w:p>
        </w:tc>
      </w:tr>
      <w:tr w:rsidR="00765293" w14:paraId="6A850AC2" w14:textId="77777777" w:rsidTr="008B3A78">
        <w:tc>
          <w:tcPr>
            <w:tcW w:w="467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F792BD8" w14:textId="77777777" w:rsidR="00765293" w:rsidRDefault="00765293" w:rsidP="008B3A78">
            <w:pPr>
              <w:spacing w:before="30" w:after="30" w:line="276" w:lineRule="auto"/>
            </w:pPr>
            <w:r>
              <w:rPr>
                <w:sz w:val="22"/>
                <w:szCs w:val="22"/>
              </w:rPr>
              <w:t>от 0,040 до менее 0,055</w:t>
            </w:r>
          </w:p>
        </w:tc>
        <w:tc>
          <w:tcPr>
            <w:tcW w:w="467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0F4F9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693ADF4" w14:textId="77777777" w:rsidR="00765293" w:rsidRDefault="00765293" w:rsidP="008B3A78">
            <w:pPr>
              <w:spacing w:before="30" w:after="30" w:line="276" w:lineRule="auto"/>
              <w:jc w:val="center"/>
            </w:pPr>
            <w:r>
              <w:rPr>
                <w:b/>
                <w:bCs/>
                <w:color w:val="0B2A5B"/>
                <w:sz w:val="22"/>
                <w:szCs w:val="22"/>
              </w:rPr>
              <w:t>1,8</w:t>
            </w:r>
          </w:p>
        </w:tc>
      </w:tr>
      <w:tr w:rsidR="00765293" w14:paraId="29377B83" w14:textId="77777777" w:rsidTr="008B3A78">
        <w:tc>
          <w:tcPr>
            <w:tcW w:w="467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CFA9942" w14:textId="77777777" w:rsidR="00765293" w:rsidRDefault="00765293" w:rsidP="008B3A78">
            <w:pPr>
              <w:spacing w:before="30" w:after="30" w:line="276" w:lineRule="auto"/>
            </w:pPr>
            <w:r>
              <w:rPr>
                <w:sz w:val="22"/>
                <w:szCs w:val="22"/>
              </w:rPr>
              <w:t>0,055 и более</w:t>
            </w:r>
          </w:p>
        </w:tc>
        <w:tc>
          <w:tcPr>
            <w:tcW w:w="467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4D63838" w14:textId="77777777" w:rsidR="00765293" w:rsidRDefault="00765293" w:rsidP="008B3A78">
            <w:pPr>
              <w:spacing w:before="30" w:after="30" w:line="276" w:lineRule="auto"/>
              <w:jc w:val="center"/>
            </w:pPr>
            <w:r>
              <w:rPr>
                <w:b/>
                <w:bCs/>
                <w:color w:val="0B2A5B"/>
                <w:sz w:val="22"/>
                <w:szCs w:val="22"/>
              </w:rPr>
              <w:t>2,0</w:t>
            </w:r>
          </w:p>
        </w:tc>
      </w:tr>
    </w:tbl>
    <w:p w14:paraId="508A08C9" w14:textId="77777777" w:rsidR="00765293" w:rsidRDefault="00765293" w:rsidP="00765293">
      <w:pPr>
        <w:spacing w:before="60" w:after="60"/>
      </w:pPr>
    </w:p>
    <w:p w14:paraId="5A7FE9B3" w14:textId="77777777" w:rsidR="00765293" w:rsidRDefault="00765293" w:rsidP="00765293">
      <w:pPr>
        <w:pStyle w:val="ac"/>
        <w:ind w:firstLine="709"/>
        <w:jc w:val="both"/>
      </w:pPr>
      <w:r>
        <w:rPr>
          <w:b/>
          <w:bCs/>
        </w:rPr>
        <w:t xml:space="preserve">6.5. </w:t>
      </w:r>
      <w:r>
        <w:t>Указанная шкала является внутренним инструментом Ассоциации муниципального спортивного управления для определения размера членского взноса и не подменяет собой государственные методики оценки обеспеченности спортивной инфраструктурой.</w:t>
      </w:r>
    </w:p>
    <w:p w14:paraId="78355A55" w14:textId="77777777" w:rsidR="00765293" w:rsidRDefault="00765293" w:rsidP="00765293">
      <w:pPr>
        <w:pStyle w:val="ac"/>
        <w:ind w:firstLine="709"/>
        <w:jc w:val="both"/>
      </w:pPr>
      <w:r>
        <w:rPr>
          <w:b/>
          <w:bCs/>
        </w:rPr>
        <w:t xml:space="preserve">6.6. </w:t>
      </w:r>
      <w:r>
        <w:t>Значения пороговых уровней шкалы могут уточняться решением Общего собрания Ассоциации не чаще одного раза в год на основании анализа массива данных по муниципальным образованиям — членам, финансовых потребностей Ассоциации и практики применения настоящей Методики.</w:t>
      </w:r>
    </w:p>
    <w:p w14:paraId="31D754B5" w14:textId="77777777" w:rsidR="00765293" w:rsidRDefault="00765293" w:rsidP="00765293">
      <w:pPr>
        <w:pStyle w:val="ac"/>
        <w:ind w:firstLine="709"/>
        <w:jc w:val="both"/>
      </w:pPr>
      <w:r>
        <w:rPr>
          <w:b/>
          <w:bCs/>
        </w:rPr>
        <w:t xml:space="preserve">6.7. </w:t>
      </w:r>
      <w:r>
        <w:t>Источники данных: форма федерального статистического наблюдения № 1-ФК «Сведения о физической культуре и спорте»; ФГИС «Физическая культура и спорт»; данные органа местного самоуправления, осуществляющего управление в сфере физической культуры и спорта.</w:t>
      </w:r>
    </w:p>
    <w:p w14:paraId="2CD977E6" w14:textId="77777777" w:rsidR="00765293" w:rsidRDefault="00765293" w:rsidP="00765293">
      <w:pPr>
        <w:pStyle w:val="ac"/>
        <w:ind w:firstLine="709"/>
        <w:jc w:val="both"/>
      </w:pPr>
      <w:r>
        <w:rPr>
          <w:b/>
          <w:bCs/>
        </w:rPr>
        <w:t xml:space="preserve">6.8. </w:t>
      </w:r>
      <w:r>
        <w:t xml:space="preserve">При отсутствии у кандидата на вступление верифицированных данных по показателю </w:t>
      </w:r>
      <w:proofErr w:type="spellStart"/>
      <w:r>
        <w:t>ЕПСфакт</w:t>
      </w:r>
      <w:proofErr w:type="spellEnd"/>
      <w:r>
        <w:t xml:space="preserve"> Исполнительная дирекция Ассоциации устанавливает значение </w:t>
      </w:r>
      <w:proofErr w:type="spellStart"/>
      <w:r>
        <w:t>Кинф</w:t>
      </w:r>
      <w:proofErr w:type="spellEnd"/>
      <w:r>
        <w:t xml:space="preserve"> равным 1,0 до представления актуальных сведений в порядке, определённом пунктом 9.3 настоящей Методики.</w:t>
      </w:r>
    </w:p>
    <w:p w14:paraId="2DD98BB9" w14:textId="77777777" w:rsidR="00765293" w:rsidRPr="00036501" w:rsidRDefault="00765293" w:rsidP="00765293">
      <w:pPr>
        <w:pStyle w:val="ac"/>
        <w:spacing w:before="240" w:after="240"/>
        <w:jc w:val="center"/>
        <w:rPr>
          <w:b/>
        </w:rPr>
      </w:pPr>
      <w:r w:rsidRPr="00036501">
        <w:rPr>
          <w:b/>
        </w:rPr>
        <w:t>7. Система абсолютных ограничителей</w:t>
      </w:r>
    </w:p>
    <w:p w14:paraId="0DD1F188" w14:textId="77777777" w:rsidR="00765293" w:rsidRPr="00200CB2" w:rsidRDefault="00765293" w:rsidP="00765293">
      <w:pPr>
        <w:pStyle w:val="ac"/>
        <w:ind w:firstLine="709"/>
        <w:jc w:val="both"/>
      </w:pPr>
      <w:r w:rsidRPr="00200CB2">
        <w:t xml:space="preserve">7.1. Методика устанавливает двойную систему абсолютных ограничителей, применяемую к итоговому результату произведения </w:t>
      </w:r>
      <w:r>
        <w:br/>
      </w:r>
      <w:r w:rsidRPr="00200CB2">
        <w:t xml:space="preserve">БС × </w:t>
      </w:r>
      <w:proofErr w:type="spellStart"/>
      <w:r w:rsidRPr="00200CB2">
        <w:t>Кн</w:t>
      </w:r>
      <w:proofErr w:type="spellEnd"/>
      <w:r w:rsidRPr="00200CB2">
        <w:t xml:space="preserve"> × </w:t>
      </w:r>
      <w:proofErr w:type="spellStart"/>
      <w:r w:rsidRPr="00200CB2">
        <w:t>Кэ</w:t>
      </w:r>
      <w:proofErr w:type="spellEnd"/>
      <w:r w:rsidRPr="00200CB2">
        <w:t xml:space="preserve"> × </w:t>
      </w:r>
      <w:proofErr w:type="spellStart"/>
      <w:r w:rsidRPr="00200CB2">
        <w:t>Кинф</w:t>
      </w:r>
      <w:proofErr w:type="spellEnd"/>
      <w:r w:rsidRPr="00200CB2">
        <w:t>.</w:t>
      </w:r>
    </w:p>
    <w:p w14:paraId="4A2BA029" w14:textId="77777777" w:rsidR="00765293" w:rsidRPr="00200CB2" w:rsidRDefault="00765293" w:rsidP="00765293">
      <w:pPr>
        <w:pStyle w:val="ac"/>
        <w:ind w:firstLine="709"/>
        <w:jc w:val="both"/>
      </w:pPr>
      <w:r w:rsidRPr="00200CB2">
        <w:t>7.2. Минимальный взнос (</w:t>
      </w:r>
      <w:proofErr w:type="spellStart"/>
      <w:r w:rsidRPr="00200CB2">
        <w:t>Вмин</w:t>
      </w:r>
      <w:proofErr w:type="spellEnd"/>
      <w:r w:rsidRPr="00200CB2">
        <w:t>) Данная сумма представляет собой минимальную экономическую стоимость администрирования членства одного субъекта в Ассоциации и гарантирует базовый, неснижаемый вклад каждого участника в покрытие постоянных операционных расходов.</w:t>
      </w:r>
    </w:p>
    <w:p w14:paraId="06AC0FC0" w14:textId="77777777" w:rsidR="00765293" w:rsidRPr="00200CB2" w:rsidRDefault="00765293" w:rsidP="00765293">
      <w:pPr>
        <w:pStyle w:val="ac"/>
        <w:ind w:firstLine="709"/>
        <w:jc w:val="both"/>
      </w:pPr>
      <w:r w:rsidRPr="00200CB2">
        <w:t>7.3. Максимальный взнос (</w:t>
      </w:r>
      <w:proofErr w:type="spellStart"/>
      <w:r w:rsidRPr="00200CB2">
        <w:t>Вмакс</w:t>
      </w:r>
      <w:proofErr w:type="spellEnd"/>
      <w:r w:rsidRPr="00200CB2">
        <w:t>) Верхний ограничитель предотвращает концентрацию значительной части доходов Ассоциации в крупных городах и обеспечивает политическую приемлемость расходов при утверждении местных бюджетов представительными органами муниципальных образований.</w:t>
      </w:r>
    </w:p>
    <w:p w14:paraId="11E4FDD6" w14:textId="77777777" w:rsidR="00765293" w:rsidRDefault="00765293" w:rsidP="00765293">
      <w:pPr>
        <w:pStyle w:val="ac"/>
        <w:ind w:firstLine="709"/>
        <w:jc w:val="both"/>
      </w:pPr>
      <w:r w:rsidRPr="00200CB2">
        <w:t>7.4. В остальных случаях к уплате принимается расчётная сумма произведения.</w:t>
      </w:r>
    </w:p>
    <w:p w14:paraId="48E5F420" w14:textId="77777777" w:rsidR="001906E1" w:rsidRDefault="001906E1"/>
    <w:sectPr w:rsidR="001906E1" w:rsidSect="00765293">
      <w:footerReference w:type="default" r:id="rId5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C05A" w14:textId="77777777" w:rsidR="00765293" w:rsidRDefault="00765293">
    <w:pPr>
      <w:jc w:val="center"/>
    </w:pPr>
    <w:r>
      <w:rPr>
        <w:color w:val="666666"/>
        <w:sz w:val="18"/>
        <w:szCs w:val="18"/>
      </w:rPr>
      <w:t xml:space="preserve">–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>
      <w:rPr>
        <w:noProof/>
        <w:color w:val="666666"/>
        <w:sz w:val="18"/>
        <w:szCs w:val="18"/>
      </w:rPr>
      <w:t>5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 xml:space="preserve"> –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57D78"/>
    <w:multiLevelType w:val="multilevel"/>
    <w:tmpl w:val="5144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4D41423"/>
    <w:multiLevelType w:val="multilevel"/>
    <w:tmpl w:val="FDBA6E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06764811">
    <w:abstractNumId w:val="1"/>
  </w:num>
  <w:num w:numId="2" w16cid:durableId="1385524061">
    <w:abstractNumId w:val="1"/>
  </w:num>
  <w:num w:numId="3" w16cid:durableId="98651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93"/>
    <w:rsid w:val="001906E1"/>
    <w:rsid w:val="00472B6A"/>
    <w:rsid w:val="00765293"/>
    <w:rsid w:val="00A2426F"/>
    <w:rsid w:val="00BB5398"/>
    <w:rsid w:val="00C45D4B"/>
    <w:rsid w:val="00E4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BDA2"/>
  <w15:chartTrackingRefBased/>
  <w15:docId w15:val="{17033D79-2E93-4BF2-A857-2080926C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29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0">
    <w:name w:val="heading 1"/>
    <w:basedOn w:val="a"/>
    <w:next w:val="a"/>
    <w:link w:val="11"/>
    <w:qFormat/>
    <w:rsid w:val="007652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D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2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2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2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29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29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29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29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 1"/>
    <w:basedOn w:val="a3"/>
    <w:link w:val="12"/>
    <w:qFormat/>
    <w:rsid w:val="00C45D4B"/>
    <w:pPr>
      <w:numPr>
        <w:numId w:val="3"/>
      </w:numPr>
      <w:spacing w:before="120" w:after="120" w:line="240" w:lineRule="auto"/>
      <w:ind w:left="391" w:hanging="391"/>
    </w:pPr>
    <w:rPr>
      <w:b/>
      <w:bCs/>
      <w:sz w:val="24"/>
    </w:rPr>
  </w:style>
  <w:style w:type="character" w:customStyle="1" w:styleId="12">
    <w:name w:val="Подзаголовок 1 Знак"/>
    <w:basedOn w:val="a4"/>
    <w:link w:val="1"/>
    <w:rsid w:val="00C45D4B"/>
    <w:rPr>
      <w:rFonts w:eastAsiaTheme="majorEastAsia" w:cstheme="majorBidi"/>
      <w:b/>
      <w:bCs/>
      <w:color w:val="595959" w:themeColor="text1" w:themeTint="A6"/>
      <w:spacing w:val="15"/>
      <w:sz w:val="24"/>
      <w:szCs w:val="28"/>
    </w:rPr>
  </w:style>
  <w:style w:type="paragraph" w:styleId="a3">
    <w:name w:val="Subtitle"/>
    <w:basedOn w:val="a"/>
    <w:next w:val="a"/>
    <w:link w:val="a4"/>
    <w:uiPriority w:val="11"/>
    <w:qFormat/>
    <w:rsid w:val="00C45D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4">
    <w:name w:val="Подзаголовок Знак"/>
    <w:basedOn w:val="a0"/>
    <w:link w:val="a3"/>
    <w:uiPriority w:val="11"/>
    <w:rsid w:val="00C45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120">
    <w:name w:val="Заголовок 1.2"/>
    <w:basedOn w:val="2"/>
    <w:link w:val="121"/>
    <w:autoRedefine/>
    <w:qFormat/>
    <w:rsid w:val="00C45D4B"/>
    <w:pPr>
      <w:tabs>
        <w:tab w:val="num" w:pos="1440"/>
      </w:tabs>
      <w:spacing w:before="120" w:after="120" w:line="240" w:lineRule="auto"/>
      <w:ind w:left="390" w:hanging="390"/>
    </w:pPr>
    <w:rPr>
      <w:rFonts w:asciiTheme="minorHAnsi" w:hAnsiTheme="minorHAnsi"/>
      <w:b/>
      <w:bCs/>
      <w:color w:val="000000" w:themeColor="text1"/>
      <w:spacing w:val="15"/>
      <w:sz w:val="24"/>
    </w:rPr>
  </w:style>
  <w:style w:type="character" w:customStyle="1" w:styleId="121">
    <w:name w:val="Заголовок 1.2 Знак"/>
    <w:basedOn w:val="a4"/>
    <w:link w:val="120"/>
    <w:rsid w:val="00C45D4B"/>
    <w:rPr>
      <w:rFonts w:eastAsiaTheme="majorEastAsia" w:cstheme="majorBidi"/>
      <w:b/>
      <w:bCs/>
      <w:color w:val="000000" w:themeColor="text1"/>
      <w:spacing w:val="15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5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Заголовок 1 Знак"/>
    <w:basedOn w:val="a0"/>
    <w:link w:val="10"/>
    <w:rsid w:val="00765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765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52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52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52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52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52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5293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7652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6">
    <w:name w:val="Заголовок Знак"/>
    <w:basedOn w:val="a0"/>
    <w:link w:val="a5"/>
    <w:uiPriority w:val="10"/>
    <w:rsid w:val="00765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Quote"/>
    <w:basedOn w:val="a"/>
    <w:next w:val="a"/>
    <w:link w:val="22"/>
    <w:uiPriority w:val="29"/>
    <w:qFormat/>
    <w:rsid w:val="0076529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652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52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652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5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652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529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6529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table" w:styleId="ad">
    <w:name w:val="Table Grid"/>
    <w:basedOn w:val="a1"/>
    <w:uiPriority w:val="39"/>
    <w:rsid w:val="0076529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2182</Words>
  <Characters>12439</Characters>
  <Application>Microsoft Office Word</Application>
  <DocSecurity>0</DocSecurity>
  <Lines>103</Lines>
  <Paragraphs>29</Paragraphs>
  <ScaleCrop>false</ScaleCrop>
  <Company/>
  <LinksUpToDate>false</LinksUpToDate>
  <CharactersWithSpaces>14592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Ч</dc:creator>
  <cp:keywords/>
  <dc:description/>
  <cp:lastModifiedBy>Дмитрий Ч</cp:lastModifiedBy>
  <cp:revision>1</cp:revision>
  <dcterms:created xsi:type="dcterms:W3CDTF">2026-05-06T16:12:00Z</dcterms:created>
  <dcterms:modified xsi:type="dcterms:W3CDTF">2026-05-06T16:13:00Z</dcterms:modified>
</cp:coreProperties>
</file>